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29DF2" w14:textId="520A3666" w:rsidR="00B21285" w:rsidRDefault="00B21285" w:rsidP="00B21285">
      <w:pPr>
        <w:pStyle w:val="CRCoverPage"/>
        <w:tabs>
          <w:tab w:val="right" w:pos="9639"/>
        </w:tabs>
        <w:spacing w:after="0"/>
        <w:rPr>
          <w:b/>
          <w:i/>
          <w:noProof/>
          <w:sz w:val="28"/>
        </w:rPr>
      </w:pPr>
      <w:r>
        <w:rPr>
          <w:b/>
          <w:noProof/>
          <w:sz w:val="24"/>
        </w:rPr>
        <w:t>3GPP TSG-RAN WG3 Meeting #119</w:t>
      </w:r>
      <w:r>
        <w:rPr>
          <w:b/>
          <w:i/>
          <w:noProof/>
          <w:sz w:val="28"/>
        </w:rPr>
        <w:tab/>
      </w:r>
      <w:r w:rsidR="008110C8" w:rsidRPr="008110C8">
        <w:rPr>
          <w:b/>
          <w:i/>
          <w:noProof/>
          <w:sz w:val="24"/>
        </w:rPr>
        <w:t>R3-230187</w:t>
      </w:r>
    </w:p>
    <w:p w14:paraId="2E822E19" w14:textId="77777777" w:rsidR="00B21285" w:rsidRDefault="00B21285" w:rsidP="00B21285">
      <w:pPr>
        <w:pStyle w:val="CRCoverPage"/>
        <w:outlineLvl w:val="0"/>
        <w:rPr>
          <w:b/>
          <w:noProof/>
          <w:sz w:val="24"/>
        </w:rPr>
      </w:pPr>
      <w:r>
        <w:rPr>
          <w:b/>
          <w:noProof/>
          <w:sz w:val="24"/>
        </w:rPr>
        <w:t>Athens, Greece, 27 February-3 March 2023</w:t>
      </w:r>
    </w:p>
    <w:p w14:paraId="0717E73E" w14:textId="77777777" w:rsidR="00CD4C7B" w:rsidRPr="00B1063A" w:rsidRDefault="00CD4C7B" w:rsidP="00CD4C7B">
      <w:pPr>
        <w:pStyle w:val="a3"/>
        <w:rPr>
          <w:bCs/>
          <w:noProof w:val="0"/>
          <w:sz w:val="24"/>
          <w:lang w:val="en-US"/>
        </w:rPr>
      </w:pPr>
    </w:p>
    <w:p w14:paraId="3B0EF5F6" w14:textId="2C37F98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7121C5">
        <w:rPr>
          <w:rFonts w:cs="Arial"/>
          <w:b/>
          <w:bCs/>
          <w:sz w:val="24"/>
          <w:lang w:val="en-US" w:eastAsia="ja-JP"/>
        </w:rPr>
        <w:t>1</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4CA309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27439248"/>
      <w:r w:rsidR="003B5FD6">
        <w:rPr>
          <w:rFonts w:ascii="Arial" w:hAnsi="Arial" w:cs="Arial"/>
          <w:b/>
          <w:bCs/>
          <w:sz w:val="24"/>
        </w:rPr>
        <w:t xml:space="preserve">Discussion on </w:t>
      </w:r>
      <w:r w:rsidR="008F7BA6">
        <w:rPr>
          <w:rFonts w:ascii="Arial" w:hAnsi="Arial" w:cs="Arial"/>
          <w:b/>
          <w:bCs/>
          <w:sz w:val="24"/>
        </w:rPr>
        <w:t xml:space="preserve">LS of </w:t>
      </w:r>
      <w:r w:rsidR="008F7BA6" w:rsidRPr="008F7BA6">
        <w:rPr>
          <w:rFonts w:ascii="Arial" w:hAnsi="Arial" w:cs="Arial"/>
          <w:b/>
          <w:bCs/>
          <w:sz w:val="24"/>
        </w:rPr>
        <w:t>FS_VMR solutions review</w:t>
      </w:r>
      <w:bookmarkEnd w:id="0"/>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00BA0FBF" w:rsidR="00D90D48" w:rsidRPr="00570E70" w:rsidRDefault="00CD4C7B" w:rsidP="00570E70">
      <w:pPr>
        <w:pStyle w:val="1"/>
      </w:pPr>
      <w:r w:rsidRPr="006E13D1">
        <w:t>1</w:t>
      </w:r>
      <w:r w:rsidRPr="006E13D1">
        <w:tab/>
      </w:r>
      <w:r w:rsidR="0056573F">
        <w:t>Introduction</w:t>
      </w:r>
    </w:p>
    <w:p w14:paraId="015A2CA5" w14:textId="1871481C" w:rsidR="00073043" w:rsidRPr="006A7FE7" w:rsidRDefault="007121C5" w:rsidP="00073043">
      <w:pPr>
        <w:spacing w:after="0"/>
        <w:rPr>
          <w:sz w:val="22"/>
        </w:rPr>
      </w:pPr>
      <w:r w:rsidRPr="006A7FE7">
        <w:rPr>
          <w:sz w:val="22"/>
          <w:lang w:eastAsia="zh-CN"/>
        </w:rPr>
        <w:t>I</w:t>
      </w:r>
      <w:r w:rsidRPr="006A7FE7">
        <w:rPr>
          <w:rFonts w:hint="eastAsia"/>
          <w:sz w:val="22"/>
          <w:lang w:eastAsia="zh-CN"/>
        </w:rPr>
        <w:t>n</w:t>
      </w:r>
      <w:r w:rsidRPr="006A7FE7">
        <w:rPr>
          <w:sz w:val="22"/>
        </w:rPr>
        <w:t xml:space="preserve"> SA2’</w:t>
      </w:r>
      <w:r w:rsidRPr="006A7FE7">
        <w:rPr>
          <w:rFonts w:hint="eastAsia"/>
          <w:sz w:val="22"/>
          <w:lang w:eastAsia="zh-CN"/>
        </w:rPr>
        <w:t>s</w:t>
      </w:r>
      <w:r w:rsidRPr="006A7FE7">
        <w:rPr>
          <w:sz w:val="22"/>
        </w:rPr>
        <w:t xml:space="preserve"> LS [1]</w:t>
      </w:r>
      <w:r w:rsidR="009A081F" w:rsidRPr="006A7FE7">
        <w:rPr>
          <w:sz w:val="22"/>
        </w:rPr>
        <w:t>, the following questions</w:t>
      </w:r>
      <w:r w:rsidR="004F5461">
        <w:rPr>
          <w:sz w:val="22"/>
        </w:rPr>
        <w:t xml:space="preserve"> are</w:t>
      </w:r>
      <w:r w:rsidR="009A081F" w:rsidRPr="006A7FE7">
        <w:rPr>
          <w:sz w:val="22"/>
        </w:rPr>
        <w:t xml:space="preserve"> asked by SA2.</w:t>
      </w:r>
    </w:p>
    <w:p w14:paraId="7B6F581B" w14:textId="77777777" w:rsidR="00073043" w:rsidRPr="006A7FE7" w:rsidRDefault="00073043" w:rsidP="00073043">
      <w:pPr>
        <w:spacing w:after="0"/>
        <w:rPr>
          <w:sz w:val="22"/>
        </w:rPr>
      </w:pPr>
    </w:p>
    <w:p w14:paraId="6C480B2A" w14:textId="08B0B888" w:rsidR="00B319E0" w:rsidRPr="006A7FE7" w:rsidRDefault="00B319E0" w:rsidP="00B319E0">
      <w:pPr>
        <w:rPr>
          <w:i/>
          <w:color w:val="0000FF"/>
        </w:rPr>
      </w:pPr>
      <w:r w:rsidRPr="006A7FE7">
        <w:rPr>
          <w:i/>
          <w:color w:val="0000FF"/>
        </w:rPr>
        <w:t>-</w:t>
      </w:r>
      <w:r w:rsidRPr="006A7FE7">
        <w:rPr>
          <w:i/>
          <w:color w:val="0000FF"/>
        </w:rPr>
        <w:tab/>
        <w:t xml:space="preserve">For point#1 (regarding KI#1), SA2 will work to ensure that the MBSR is able to establish a secure and trusted connection with OAM server in a serving PLMN. SA2 would like to ask RAN3 to provide information on additional parameters for mobile IAB if RAN3 has identified any.  </w:t>
      </w:r>
    </w:p>
    <w:p w14:paraId="32DC3D46" w14:textId="7EA3FBE7" w:rsidR="00B319E0" w:rsidRPr="006A7FE7" w:rsidRDefault="00B319E0" w:rsidP="00B319E0">
      <w:pPr>
        <w:rPr>
          <w:i/>
          <w:color w:val="0000FF"/>
        </w:rPr>
      </w:pPr>
      <w:r w:rsidRPr="006A7FE7">
        <w:rPr>
          <w:i/>
          <w:color w:val="0000FF"/>
        </w:rPr>
        <w:t>-</w:t>
      </w:r>
      <w:r w:rsidRPr="006A7FE7">
        <w:rPr>
          <w:i/>
          <w:color w:val="0000FF"/>
        </w:rPr>
        <w:tab/>
        <w:t xml:space="preserve">For point#2 (regarding KI#3),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p w14:paraId="7484C7D5" w14:textId="7403C1D7" w:rsidR="00B319E0" w:rsidRPr="006A7FE7" w:rsidRDefault="00B319E0" w:rsidP="00B319E0">
      <w:pPr>
        <w:rPr>
          <w:i/>
          <w:color w:val="0000FF"/>
        </w:rPr>
      </w:pPr>
      <w:r w:rsidRPr="006A7FE7">
        <w:rPr>
          <w:i/>
          <w:color w:val="0000FF"/>
        </w:rPr>
        <w:t>-</w:t>
      </w:r>
      <w:r w:rsidRPr="006A7FE7">
        <w:rPr>
          <w:i/>
          <w:color w:val="0000FF"/>
        </w:rPr>
        <w:tab/>
        <w:t xml:space="preserve">For point#4 (regarding KI#4), SA2 concluded based on the RAN3 response that the MBSR would only connect to the donor </w:t>
      </w:r>
      <w:proofErr w:type="spellStart"/>
      <w:r w:rsidRPr="006A7FE7">
        <w:rPr>
          <w:i/>
          <w:color w:val="0000FF"/>
        </w:rPr>
        <w:t>gNB</w:t>
      </w:r>
      <w:proofErr w:type="spellEnd"/>
      <w:r w:rsidRPr="006A7FE7">
        <w:rPr>
          <w:i/>
          <w:color w:val="0000FF"/>
        </w:rPr>
        <w:t xml:space="preserve"> of the serving PLMN using the Rel-16/17 procedures. However, SA2 would like to review this again when RAN3 completes the full migration design. </w:t>
      </w:r>
    </w:p>
    <w:p w14:paraId="1D1DD65F" w14:textId="315ACC29" w:rsidR="00B319E0" w:rsidRPr="006A7FE7" w:rsidRDefault="00B319E0" w:rsidP="00B319E0">
      <w:pPr>
        <w:rPr>
          <w:i/>
          <w:color w:val="0000FF"/>
        </w:rPr>
      </w:pPr>
      <w:r w:rsidRPr="006A7FE7">
        <w:rPr>
          <w:i/>
          <w:color w:val="0000FF"/>
        </w:rPr>
        <w:t>-</w:t>
      </w:r>
      <w:r w:rsidRPr="006A7FE7">
        <w:rPr>
          <w:i/>
          <w:color w:val="0000FF"/>
        </w:rPr>
        <w:tab/>
        <w:t xml:space="preserve">For point#6 (regarding KI#5), based on the SA2 study, </w:t>
      </w:r>
      <w:proofErr w:type="spellStart"/>
      <w:r w:rsidRPr="006A7FE7">
        <w:rPr>
          <w:i/>
          <w:color w:val="0000FF"/>
        </w:rPr>
        <w:t>NRPPa</w:t>
      </w:r>
      <w:proofErr w:type="spellEnd"/>
      <w:r w:rsidRPr="006A7FE7">
        <w:rPr>
          <w:i/>
          <w:color w:val="0000FF"/>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6A7FE7">
        <w:rPr>
          <w:i/>
          <w:color w:val="0000FF"/>
        </w:rPr>
        <w:t>NRPPa</w:t>
      </w:r>
      <w:proofErr w:type="spellEnd"/>
      <w:r w:rsidRPr="006A7FE7">
        <w:rPr>
          <w:i/>
          <w:color w:val="0000FF"/>
        </w:rPr>
        <w:t xml:space="preserve"> from the donor </w:t>
      </w:r>
      <w:proofErr w:type="spellStart"/>
      <w:r w:rsidRPr="006A7FE7">
        <w:rPr>
          <w:i/>
          <w:color w:val="0000FF"/>
        </w:rPr>
        <w:t>gNB</w:t>
      </w:r>
      <w:proofErr w:type="spellEnd"/>
      <w:r w:rsidRPr="006A7FE7">
        <w:rPr>
          <w:i/>
          <w:color w:val="0000FF"/>
        </w:rPr>
        <w:t xml:space="preserve">. SA2 would like to ask RAN3 to consider supporting such solution within Rel-18 timeframe. </w:t>
      </w:r>
    </w:p>
    <w:p w14:paraId="00D2353C" w14:textId="3F41F4A0" w:rsidR="00B319E0" w:rsidRPr="006A7FE7" w:rsidRDefault="00B319E0" w:rsidP="00B319E0">
      <w:pPr>
        <w:rPr>
          <w:i/>
          <w:color w:val="0000FF"/>
        </w:rPr>
      </w:pPr>
      <w:r w:rsidRPr="006A7FE7">
        <w:rPr>
          <w:i/>
          <w:color w:val="0000FF"/>
        </w:rPr>
        <w:t>-</w:t>
      </w:r>
      <w:r w:rsidRPr="006A7FE7">
        <w:rPr>
          <w:i/>
          <w:color w:val="0000FF"/>
        </w:rPr>
        <w:tab/>
        <w:t>For point#7 (regarding KI#6), SA2 would like to clarify that additional information besides existing ULI from donor-</w:t>
      </w:r>
      <w:proofErr w:type="spellStart"/>
      <w:r w:rsidRPr="006A7FE7">
        <w:rPr>
          <w:i/>
          <w:color w:val="0000FF"/>
        </w:rPr>
        <w:t>gNB</w:t>
      </w:r>
      <w:proofErr w:type="spellEnd"/>
      <w:r w:rsidRPr="006A7FE7">
        <w:rPr>
          <w:i/>
          <w:color w:val="0000FF"/>
        </w:rPr>
        <w:t xml:space="preserve">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        </w:t>
      </w:r>
    </w:p>
    <w:p w14:paraId="55FC59F9" w14:textId="77777777" w:rsidR="00B319E0" w:rsidRPr="006A7FE7" w:rsidRDefault="00B319E0" w:rsidP="00B319E0">
      <w:pPr>
        <w:rPr>
          <w:i/>
          <w:color w:val="0000FF"/>
        </w:rPr>
      </w:pPr>
      <w:r w:rsidRPr="006A7FE7">
        <w:rPr>
          <w:i/>
          <w:color w:val="0000FF"/>
        </w:rPr>
        <w:t xml:space="preserve">Additionally, SA2 would like to further inform that SA2 has reached conclusions for KI#7 in SA2 study related to control of UE access to MBSR using CAG function. See more detailed text in clause 8.7 of the latest TR 23.700-05v1.2.0.  </w:t>
      </w:r>
    </w:p>
    <w:p w14:paraId="25A956D2" w14:textId="7FEFC50B" w:rsidR="00A8557C" w:rsidRPr="006A7FE7" w:rsidRDefault="00A8557C" w:rsidP="00B319E0">
      <w:pPr>
        <w:rPr>
          <w:sz w:val="22"/>
        </w:rPr>
      </w:pPr>
      <w:r w:rsidRPr="006A7FE7">
        <w:rPr>
          <w:sz w:val="22"/>
        </w:rPr>
        <w:t xml:space="preserve">In this contribution, </w:t>
      </w:r>
      <w:r w:rsidR="00DD41D3" w:rsidRPr="006A7FE7">
        <w:rPr>
          <w:sz w:val="22"/>
        </w:rPr>
        <w:t xml:space="preserve">we’d like to </w:t>
      </w:r>
      <w:r w:rsidR="00882197" w:rsidRPr="006A7FE7">
        <w:rPr>
          <w:sz w:val="22"/>
        </w:rPr>
        <w:t xml:space="preserve">discuss </w:t>
      </w:r>
      <w:r w:rsidR="00AA672B" w:rsidRPr="006A7FE7">
        <w:rPr>
          <w:sz w:val="22"/>
        </w:rPr>
        <w:t xml:space="preserve">the </w:t>
      </w:r>
      <w:r w:rsidR="00C702A6" w:rsidRPr="006A7FE7">
        <w:rPr>
          <w:sz w:val="22"/>
        </w:rPr>
        <w:t>RAN3’s impacts and further work based on the LS and the progress in TR 23.700-05[2]</w:t>
      </w:r>
      <w:r w:rsidR="00AA672B" w:rsidRPr="006A7FE7">
        <w:rPr>
          <w:sz w:val="22"/>
        </w:rPr>
        <w:t>.</w:t>
      </w:r>
    </w:p>
    <w:p w14:paraId="479DA40B" w14:textId="77777777" w:rsidR="00CD4C7B" w:rsidRPr="006E13D1" w:rsidRDefault="00CD4C7B" w:rsidP="00CD4C7B">
      <w:pPr>
        <w:pStyle w:val="1"/>
      </w:pPr>
      <w:r w:rsidRPr="006E13D1">
        <w:t>2</w:t>
      </w:r>
      <w:r w:rsidRPr="006E13D1">
        <w:tab/>
      </w:r>
      <w:r w:rsidR="00972FD7">
        <w:t>Discussion</w:t>
      </w:r>
    </w:p>
    <w:p w14:paraId="577F9485" w14:textId="275E7F40" w:rsidR="00DB4619" w:rsidRPr="00862240" w:rsidRDefault="00A31288" w:rsidP="00862240">
      <w:pPr>
        <w:pStyle w:val="2"/>
      </w:pPr>
      <w:bookmarkStart w:id="1" w:name="_Hlk109747344"/>
      <w:r>
        <w:t>2.1</w:t>
      </w:r>
      <w:r>
        <w:tab/>
      </w:r>
      <w:r w:rsidR="00B319E0" w:rsidRPr="00B319E0">
        <w:t>For point#1 (regarding KI#1)</w:t>
      </w:r>
    </w:p>
    <w:p w14:paraId="5471A3D5" w14:textId="19CC96E8" w:rsidR="00DB4619" w:rsidRPr="00BC2DA2" w:rsidRDefault="00DB4619" w:rsidP="00DB4619">
      <w:pPr>
        <w:pStyle w:val="B1"/>
        <w:rPr>
          <w:color w:val="0000FF"/>
        </w:rPr>
      </w:pPr>
      <w:r w:rsidRPr="00BC2DA2">
        <w:rPr>
          <w:color w:val="0000FF"/>
        </w:rPr>
        <w:t>-</w:t>
      </w:r>
      <w:r w:rsidRPr="00BC2DA2">
        <w:rPr>
          <w:color w:val="0000FF"/>
        </w:rPr>
        <w:tab/>
      </w:r>
      <w:r w:rsidR="00B319E0" w:rsidRPr="00BC2DA2">
        <w:rPr>
          <w:i/>
          <w:color w:val="0000FF"/>
        </w:rPr>
        <w:t>For point#1 (regarding KI#1), SA2 will work to ensure that the MBSR is able to establish a secure and trusted connection with OAM server in a serving PLMN. SA2 would like to ask RAN3 to provide information on additional parameters for mobile IAB if RAN3 has identified any</w:t>
      </w:r>
      <w:r w:rsidRPr="00BC2DA2">
        <w:rPr>
          <w:color w:val="0000FF"/>
        </w:rPr>
        <w:t xml:space="preserve">. </w:t>
      </w:r>
    </w:p>
    <w:p w14:paraId="605DCBA9" w14:textId="6F17FEE1" w:rsidR="005D6F6E" w:rsidRPr="00BC2DA2" w:rsidRDefault="004F5461" w:rsidP="00B319E0">
      <w:pPr>
        <w:pStyle w:val="B1"/>
        <w:ind w:left="0" w:firstLine="0"/>
        <w:rPr>
          <w:sz w:val="22"/>
        </w:rPr>
      </w:pPr>
      <w:r>
        <w:rPr>
          <w:sz w:val="22"/>
        </w:rPr>
        <w:t>F</w:t>
      </w:r>
      <w:r w:rsidR="005D6F6E" w:rsidRPr="00BC2DA2">
        <w:rPr>
          <w:sz w:val="22"/>
        </w:rPr>
        <w:t xml:space="preserve">or secure and trusted connection with OAM server, </w:t>
      </w:r>
      <w:r>
        <w:rPr>
          <w:sz w:val="22"/>
        </w:rPr>
        <w:t xml:space="preserve">as stated in [2], </w:t>
      </w:r>
      <w:r w:rsidR="005D6F6E" w:rsidRPr="00BC2DA2">
        <w:rPr>
          <w:sz w:val="22"/>
        </w:rPr>
        <w:t>it’s in SA3 and SA5 scope.</w:t>
      </w:r>
      <w:r w:rsidR="006A7FE7" w:rsidRPr="00BC2DA2">
        <w:rPr>
          <w:sz w:val="22"/>
        </w:rPr>
        <w:t xml:space="preserve"> But i</w:t>
      </w:r>
      <w:r w:rsidR="005D6F6E" w:rsidRPr="00BC2DA2">
        <w:rPr>
          <w:sz w:val="22"/>
        </w:rPr>
        <w:t xml:space="preserve">f it’s for network control on a mobile IAB node, we believe </w:t>
      </w:r>
      <w:r w:rsidR="00BC2DA2">
        <w:rPr>
          <w:sz w:val="22"/>
        </w:rPr>
        <w:t>that the</w:t>
      </w:r>
      <w:r w:rsidR="005D6F6E" w:rsidRPr="00BC2DA2">
        <w:rPr>
          <w:sz w:val="22"/>
        </w:rPr>
        <w:t xml:space="preserve"> </w:t>
      </w:r>
      <w:r w:rsidR="006A7FE7" w:rsidRPr="00BC2DA2">
        <w:rPr>
          <w:sz w:val="22"/>
        </w:rPr>
        <w:t>operation</w:t>
      </w:r>
      <w:r w:rsidR="005D6F6E" w:rsidRPr="00BC2DA2">
        <w:rPr>
          <w:sz w:val="22"/>
        </w:rPr>
        <w:t xml:space="preserve"> related information provided as UE (i.e. IAB-MT) policy information</w:t>
      </w:r>
      <w:r w:rsidR="007F437C">
        <w:rPr>
          <w:sz w:val="22"/>
        </w:rPr>
        <w:t xml:space="preserve"> or IAB authorized information</w:t>
      </w:r>
      <w:r w:rsidR="005D6F6E" w:rsidRPr="00BC2DA2">
        <w:rPr>
          <w:sz w:val="22"/>
        </w:rPr>
        <w:t xml:space="preserve"> </w:t>
      </w:r>
      <w:r w:rsidR="009D16A6" w:rsidRPr="00BC2DA2">
        <w:rPr>
          <w:sz w:val="22"/>
        </w:rPr>
        <w:t xml:space="preserve">(related to the solution 2 in TR 23.300-05-i00 [2]) </w:t>
      </w:r>
      <w:r w:rsidR="005D6F6E" w:rsidRPr="00BC2DA2">
        <w:rPr>
          <w:sz w:val="22"/>
        </w:rPr>
        <w:t>would be</w:t>
      </w:r>
      <w:r w:rsidR="001A3372" w:rsidRPr="00BC2DA2">
        <w:rPr>
          <w:sz w:val="22"/>
        </w:rPr>
        <w:t xml:space="preserve"> </w:t>
      </w:r>
      <w:r w:rsidR="009D16A6" w:rsidRPr="00BC2DA2">
        <w:rPr>
          <w:sz w:val="22"/>
        </w:rPr>
        <w:t xml:space="preserve">very </w:t>
      </w:r>
      <w:r w:rsidR="001A3372" w:rsidRPr="00BC2DA2">
        <w:rPr>
          <w:sz w:val="22"/>
        </w:rPr>
        <w:t>helpful</w:t>
      </w:r>
      <w:r>
        <w:rPr>
          <w:sz w:val="22"/>
        </w:rPr>
        <w:t xml:space="preserve"> for IAB-donor’s management</w:t>
      </w:r>
      <w:r w:rsidR="001A3372" w:rsidRPr="00BC2DA2">
        <w:rPr>
          <w:sz w:val="22"/>
        </w:rPr>
        <w:t xml:space="preserve">, the IAB-donor can use </w:t>
      </w:r>
      <w:r>
        <w:rPr>
          <w:sz w:val="22"/>
        </w:rPr>
        <w:t>the operation</w:t>
      </w:r>
      <w:r w:rsidR="009D16A6" w:rsidRPr="00BC2DA2">
        <w:rPr>
          <w:sz w:val="22"/>
        </w:rPr>
        <w:t xml:space="preserve"> </w:t>
      </w:r>
      <w:r w:rsidR="009D16A6" w:rsidRPr="00BC2DA2">
        <w:rPr>
          <w:sz w:val="22"/>
        </w:rPr>
        <w:lastRenderedPageBreak/>
        <w:t>information</w:t>
      </w:r>
      <w:r w:rsidR="001A3372" w:rsidRPr="00BC2DA2">
        <w:rPr>
          <w:sz w:val="22"/>
        </w:rPr>
        <w:t xml:space="preserve"> </w:t>
      </w:r>
      <w:r>
        <w:rPr>
          <w:sz w:val="22"/>
        </w:rPr>
        <w:t xml:space="preserve">of the IAB-node </w:t>
      </w:r>
      <w:r w:rsidR="001A3372" w:rsidRPr="00BC2DA2">
        <w:rPr>
          <w:sz w:val="22"/>
        </w:rPr>
        <w:t>to manage</w:t>
      </w:r>
      <w:r>
        <w:rPr>
          <w:sz w:val="22"/>
        </w:rPr>
        <w:t xml:space="preserve"> and control</w:t>
      </w:r>
      <w:r w:rsidR="001A3372" w:rsidRPr="00BC2DA2">
        <w:rPr>
          <w:sz w:val="22"/>
        </w:rPr>
        <w:t xml:space="preserve"> the IAB-node’s migration and </w:t>
      </w:r>
      <w:r w:rsidR="009D16A6" w:rsidRPr="00BC2DA2">
        <w:rPr>
          <w:sz w:val="22"/>
        </w:rPr>
        <w:t xml:space="preserve">the mobility of UEs that served by the IAB-node. </w:t>
      </w:r>
    </w:p>
    <w:p w14:paraId="3F1B81E7" w14:textId="75F1BAC7" w:rsidR="004F5461" w:rsidRDefault="007F437C" w:rsidP="00B319E0">
      <w:pPr>
        <w:pStyle w:val="B1"/>
        <w:ind w:left="0" w:firstLine="0"/>
        <w:rPr>
          <w:sz w:val="22"/>
        </w:rPr>
      </w:pPr>
      <w:r>
        <w:rPr>
          <w:sz w:val="22"/>
        </w:rPr>
        <w:t>T</w:t>
      </w:r>
      <w:r w:rsidR="009D16A6" w:rsidRPr="00BC2DA2">
        <w:rPr>
          <w:sz w:val="22"/>
        </w:rPr>
        <w:t xml:space="preserve">he </w:t>
      </w:r>
      <w:r w:rsidR="006A7FE7" w:rsidRPr="00BC2DA2">
        <w:rPr>
          <w:sz w:val="22"/>
        </w:rPr>
        <w:t>operation</w:t>
      </w:r>
      <w:r w:rsidR="009D16A6" w:rsidRPr="00BC2DA2">
        <w:rPr>
          <w:sz w:val="22"/>
        </w:rPr>
        <w:t xml:space="preserve"> related information for mobile IAB’s operation </w:t>
      </w:r>
      <w:bookmarkStart w:id="2" w:name="_Hlk127349919"/>
      <w:r>
        <w:rPr>
          <w:sz w:val="22"/>
        </w:rPr>
        <w:t xml:space="preserve">can be </w:t>
      </w:r>
      <w:r w:rsidR="009D16A6" w:rsidRPr="00BC2DA2">
        <w:rPr>
          <w:sz w:val="22"/>
        </w:rPr>
        <w:t xml:space="preserve">e.g. Geographic restrictions, allowed PLMNs, allowed operation time and/or </w:t>
      </w:r>
      <w:bookmarkEnd w:id="2"/>
      <w:r w:rsidR="00F0269B" w:rsidRPr="00BC2DA2">
        <w:rPr>
          <w:sz w:val="22"/>
        </w:rPr>
        <w:t>speed</w:t>
      </w:r>
      <w:r w:rsidR="004F5461">
        <w:rPr>
          <w:sz w:val="22"/>
        </w:rPr>
        <w:t xml:space="preserve">, e.g. if IAB-donor knows that the IAB-node will stop working in the near future or in some specific conditions, it will not perform DU migration and it can hand UE to other serving </w:t>
      </w:r>
      <w:proofErr w:type="spellStart"/>
      <w:r w:rsidR="004F5461">
        <w:rPr>
          <w:sz w:val="22"/>
        </w:rPr>
        <w:t>gNBs</w:t>
      </w:r>
      <w:proofErr w:type="spellEnd"/>
      <w:r w:rsidR="004F5461">
        <w:rPr>
          <w:sz w:val="22"/>
        </w:rPr>
        <w:t>.</w:t>
      </w:r>
    </w:p>
    <w:p w14:paraId="27E840F2" w14:textId="7A3B3A39" w:rsidR="006A7FE7" w:rsidRPr="00BC2DA2" w:rsidRDefault="004F5461" w:rsidP="00B319E0">
      <w:pPr>
        <w:pStyle w:val="B1"/>
        <w:ind w:left="0" w:firstLine="0"/>
        <w:rPr>
          <w:sz w:val="22"/>
        </w:rPr>
      </w:pPr>
      <w:r>
        <w:rPr>
          <w:sz w:val="22"/>
        </w:rPr>
        <w:t>If RAN3 agree to introduce operation related information of mobile IAB-node,</w:t>
      </w:r>
      <w:r w:rsidR="007F437C">
        <w:rPr>
          <w:sz w:val="22"/>
        </w:rPr>
        <w:t xml:space="preserve"> and the </w:t>
      </w:r>
      <w:r>
        <w:rPr>
          <w:sz w:val="22"/>
        </w:rPr>
        <w:t xml:space="preserve">corresponding </w:t>
      </w:r>
      <w:r w:rsidR="007F437C">
        <w:rPr>
          <w:sz w:val="22"/>
        </w:rPr>
        <w:t>spec impact</w:t>
      </w:r>
      <w:r w:rsidR="008C23A5">
        <w:rPr>
          <w:sz w:val="22"/>
        </w:rPr>
        <w:t>s</w:t>
      </w:r>
      <w:r w:rsidR="007F437C">
        <w:rPr>
          <w:sz w:val="22"/>
        </w:rPr>
        <w:t xml:space="preserve"> depend on the solutions, we think t</w:t>
      </w:r>
      <w:r w:rsidR="00BC2DA2">
        <w:rPr>
          <w:sz w:val="22"/>
        </w:rPr>
        <w:t>wo options can be further considered:</w:t>
      </w:r>
    </w:p>
    <w:p w14:paraId="6561E825" w14:textId="73AADB39" w:rsidR="00C02154" w:rsidRPr="00BC2DA2" w:rsidRDefault="00C02154" w:rsidP="00BC2DA2">
      <w:pPr>
        <w:pStyle w:val="B1"/>
        <w:numPr>
          <w:ilvl w:val="0"/>
          <w:numId w:val="20"/>
        </w:numPr>
        <w:rPr>
          <w:sz w:val="22"/>
        </w:rPr>
      </w:pPr>
      <w:r w:rsidRPr="00BC2DA2">
        <w:rPr>
          <w:sz w:val="22"/>
        </w:rPr>
        <w:t xml:space="preserve">Option 1, </w:t>
      </w:r>
      <w:r w:rsidR="00BC2DA2" w:rsidRPr="00BC2DA2">
        <w:rPr>
          <w:sz w:val="22"/>
        </w:rPr>
        <w:t>CN provide</w:t>
      </w:r>
      <w:r w:rsidR="008C23A5">
        <w:rPr>
          <w:sz w:val="22"/>
        </w:rPr>
        <w:t>s</w:t>
      </w:r>
      <w:r w:rsidR="00BC2DA2" w:rsidRPr="00BC2DA2">
        <w:rPr>
          <w:sz w:val="22"/>
        </w:rPr>
        <w:t xml:space="preserve"> </w:t>
      </w:r>
      <w:r w:rsidR="008C23A5">
        <w:rPr>
          <w:sz w:val="22"/>
        </w:rPr>
        <w:t xml:space="preserve">the </w:t>
      </w:r>
      <w:r w:rsidR="008C23A5" w:rsidRPr="00BC2DA2">
        <w:rPr>
          <w:sz w:val="22"/>
        </w:rPr>
        <w:t xml:space="preserve">operation related information </w:t>
      </w:r>
      <w:r w:rsidR="008C23A5">
        <w:rPr>
          <w:sz w:val="22"/>
        </w:rPr>
        <w:t xml:space="preserve">as </w:t>
      </w:r>
      <w:r w:rsidR="00BC2DA2" w:rsidRPr="00BC2DA2">
        <w:rPr>
          <w:sz w:val="22"/>
        </w:rPr>
        <w:t xml:space="preserve">additional </w:t>
      </w:r>
      <w:r w:rsidR="00506B54" w:rsidRPr="00506B54">
        <w:rPr>
          <w:sz w:val="22"/>
        </w:rPr>
        <w:t xml:space="preserve">IAB authorization </w:t>
      </w:r>
      <w:r w:rsidR="00BC2DA2" w:rsidRPr="00BC2DA2">
        <w:rPr>
          <w:sz w:val="22"/>
        </w:rPr>
        <w:t>information over NGAP</w:t>
      </w:r>
      <w:r w:rsidR="008C23A5">
        <w:rPr>
          <w:sz w:val="22"/>
        </w:rPr>
        <w:t>,</w:t>
      </w:r>
      <w:r w:rsidR="00BC2DA2" w:rsidRPr="00BC2DA2">
        <w:rPr>
          <w:sz w:val="22"/>
        </w:rPr>
        <w:t xml:space="preserve"> along with </w:t>
      </w:r>
      <w:r w:rsidRPr="00BC2DA2">
        <w:rPr>
          <w:sz w:val="22"/>
        </w:rPr>
        <w:t>IAB authorized IE on 38.413</w:t>
      </w:r>
    </w:p>
    <w:p w14:paraId="5461D58C" w14:textId="750068B1" w:rsidR="00C02154" w:rsidRPr="00BC2DA2" w:rsidRDefault="00C02154" w:rsidP="00BC2DA2">
      <w:pPr>
        <w:pStyle w:val="B1"/>
        <w:numPr>
          <w:ilvl w:val="0"/>
          <w:numId w:val="20"/>
        </w:numPr>
        <w:rPr>
          <w:sz w:val="22"/>
          <w:lang w:val="en-US"/>
        </w:rPr>
      </w:pPr>
      <w:r w:rsidRPr="00BC2DA2">
        <w:rPr>
          <w:sz w:val="22"/>
          <w:lang w:val="en-US"/>
        </w:rPr>
        <w:t>Option 2</w:t>
      </w:r>
      <w:r w:rsidR="00BC2DA2">
        <w:rPr>
          <w:sz w:val="22"/>
          <w:lang w:val="en-US"/>
        </w:rPr>
        <w:t xml:space="preserve">, CN </w:t>
      </w:r>
      <w:r w:rsidR="008C23A5" w:rsidRPr="00BC2DA2">
        <w:rPr>
          <w:sz w:val="22"/>
        </w:rPr>
        <w:t>provide</w:t>
      </w:r>
      <w:r w:rsidR="008C23A5">
        <w:rPr>
          <w:sz w:val="22"/>
        </w:rPr>
        <w:t>s</w:t>
      </w:r>
      <w:r w:rsidR="008C23A5" w:rsidRPr="00BC2DA2">
        <w:rPr>
          <w:sz w:val="22"/>
        </w:rPr>
        <w:t xml:space="preserve"> </w:t>
      </w:r>
      <w:r w:rsidR="008C23A5">
        <w:rPr>
          <w:sz w:val="22"/>
        </w:rPr>
        <w:t xml:space="preserve">the </w:t>
      </w:r>
      <w:r w:rsidR="008C23A5" w:rsidRPr="00BC2DA2">
        <w:rPr>
          <w:sz w:val="22"/>
        </w:rPr>
        <w:t>operation related information</w:t>
      </w:r>
      <w:r w:rsidR="008C23A5">
        <w:rPr>
          <w:sz w:val="22"/>
        </w:rPr>
        <w:t xml:space="preserve"> as</w:t>
      </w:r>
      <w:r w:rsidR="00BC2DA2">
        <w:rPr>
          <w:sz w:val="22"/>
          <w:lang w:val="en-US"/>
        </w:rPr>
        <w:t xml:space="preserve"> </w:t>
      </w:r>
      <w:r w:rsidR="00683FE8" w:rsidRPr="00BC2DA2">
        <w:rPr>
          <w:sz w:val="22"/>
          <w:lang w:val="en-US"/>
        </w:rPr>
        <w:t xml:space="preserve">additional </w:t>
      </w:r>
      <w:r w:rsidRPr="00BC2DA2">
        <w:rPr>
          <w:sz w:val="22"/>
          <w:lang w:val="en-US"/>
        </w:rPr>
        <w:t xml:space="preserve">UE policy information </w:t>
      </w:r>
      <w:r w:rsidR="00BC2DA2">
        <w:rPr>
          <w:sz w:val="22"/>
          <w:lang w:val="en-US"/>
        </w:rPr>
        <w:t xml:space="preserve">to IAB-MT </w:t>
      </w:r>
      <w:r w:rsidRPr="00BC2DA2">
        <w:rPr>
          <w:sz w:val="22"/>
          <w:lang w:val="en-US"/>
        </w:rPr>
        <w:t>via NAS</w:t>
      </w:r>
      <w:r w:rsidR="00BC2DA2">
        <w:rPr>
          <w:sz w:val="22"/>
          <w:lang w:val="en-US"/>
        </w:rPr>
        <w:t>,</w:t>
      </w:r>
      <w:r w:rsidRPr="00BC2DA2">
        <w:rPr>
          <w:sz w:val="22"/>
          <w:lang w:val="en-US"/>
        </w:rPr>
        <w:t xml:space="preserve"> and </w:t>
      </w:r>
      <w:r w:rsidR="00BC2DA2">
        <w:rPr>
          <w:sz w:val="22"/>
          <w:lang w:val="en-US"/>
        </w:rPr>
        <w:t xml:space="preserve">IAB-MT </w:t>
      </w:r>
      <w:r w:rsidRPr="00BC2DA2">
        <w:rPr>
          <w:sz w:val="22"/>
          <w:lang w:val="en-US"/>
        </w:rPr>
        <w:t xml:space="preserve">provide the </w:t>
      </w:r>
      <w:r w:rsidR="00683FE8" w:rsidRPr="00BC2DA2">
        <w:rPr>
          <w:sz w:val="22"/>
          <w:lang w:val="en-US"/>
        </w:rPr>
        <w:t xml:space="preserve">additional </w:t>
      </w:r>
      <w:r w:rsidRPr="00BC2DA2">
        <w:rPr>
          <w:sz w:val="22"/>
        </w:rPr>
        <w:t xml:space="preserve">UE policy information to </w:t>
      </w:r>
      <w:r w:rsidR="00683FE8" w:rsidRPr="00BC2DA2">
        <w:rPr>
          <w:sz w:val="22"/>
        </w:rPr>
        <w:t>IAB-donor.</w:t>
      </w:r>
    </w:p>
    <w:p w14:paraId="54766485" w14:textId="08065DE2" w:rsidR="00BC2DA2" w:rsidRPr="00BC2DA2" w:rsidRDefault="008C23A5" w:rsidP="00BC2DA2">
      <w:pPr>
        <w:pStyle w:val="B1"/>
        <w:ind w:left="0" w:firstLine="0"/>
        <w:rPr>
          <w:sz w:val="22"/>
          <w:lang w:val="en-US"/>
        </w:rPr>
      </w:pPr>
      <w:r>
        <w:rPr>
          <w:sz w:val="22"/>
          <w:lang w:val="en-US"/>
        </w:rPr>
        <w:t>And be</w:t>
      </w:r>
      <w:r w:rsidR="00700394">
        <w:rPr>
          <w:sz w:val="22"/>
          <w:lang w:val="en-US"/>
        </w:rPr>
        <w:t>low is the summary for K1#1:</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5167"/>
        <w:gridCol w:w="2235"/>
      </w:tblGrid>
      <w:tr w:rsidR="00BC2DA2" w14:paraId="09DC562F" w14:textId="77777777" w:rsidTr="00506B54">
        <w:trPr>
          <w:trHeight w:val="261"/>
        </w:trPr>
        <w:tc>
          <w:tcPr>
            <w:tcW w:w="1899" w:type="dxa"/>
            <w:tcBorders>
              <w:top w:val="single" w:sz="4" w:space="0" w:color="auto"/>
              <w:left w:val="single" w:sz="4" w:space="0" w:color="auto"/>
              <w:bottom w:val="single" w:sz="4" w:space="0" w:color="auto"/>
              <w:right w:val="single" w:sz="4" w:space="0" w:color="auto"/>
            </w:tcBorders>
            <w:vAlign w:val="center"/>
            <w:hideMark/>
          </w:tcPr>
          <w:p w14:paraId="5D09A345" w14:textId="3EE8D3CB" w:rsidR="00BC2DA2" w:rsidRPr="009F2175" w:rsidRDefault="003F72F0" w:rsidP="00506B54">
            <w:pPr>
              <w:pStyle w:val="TAH"/>
              <w:rPr>
                <w:rFonts w:ascii="Times New Roman" w:hAnsi="Times New Roman"/>
                <w:sz w:val="20"/>
                <w:lang w:eastAsia="ja-JP"/>
              </w:rPr>
            </w:pPr>
            <w:r w:rsidRPr="009F2175">
              <w:rPr>
                <w:rFonts w:ascii="Times New Roman" w:hAnsi="Times New Roman"/>
                <w:sz w:val="20"/>
                <w:szCs w:val="18"/>
                <w:lang w:eastAsia="ja-JP"/>
              </w:rPr>
              <w:t>SA2’s KI</w:t>
            </w:r>
          </w:p>
        </w:tc>
        <w:tc>
          <w:tcPr>
            <w:tcW w:w="5167" w:type="dxa"/>
            <w:tcBorders>
              <w:top w:val="single" w:sz="4" w:space="0" w:color="auto"/>
              <w:left w:val="single" w:sz="4" w:space="0" w:color="auto"/>
              <w:bottom w:val="single" w:sz="4" w:space="0" w:color="auto"/>
              <w:right w:val="single" w:sz="4" w:space="0" w:color="auto"/>
            </w:tcBorders>
            <w:vAlign w:val="center"/>
            <w:hideMark/>
          </w:tcPr>
          <w:p w14:paraId="55C97C5C" w14:textId="77777777" w:rsidR="00BC2DA2" w:rsidRPr="009F2175" w:rsidRDefault="00BC2DA2" w:rsidP="00506B54">
            <w:pPr>
              <w:pStyle w:val="TAH"/>
              <w:rPr>
                <w:rFonts w:ascii="Times New Roman" w:hAnsi="Times New Roman"/>
                <w:sz w:val="20"/>
                <w:lang w:eastAsia="ja-JP"/>
              </w:rPr>
            </w:pPr>
            <w:r w:rsidRPr="009F2175">
              <w:rPr>
                <w:rFonts w:ascii="Times New Roman" w:hAnsi="Times New Roman"/>
                <w:sz w:val="20"/>
                <w:lang w:eastAsia="ja-JP"/>
              </w:rPr>
              <w:t>SA2 conclusion related to RAN</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DB4BDA6" w14:textId="77777777" w:rsidR="00BC2DA2" w:rsidRPr="009F2175" w:rsidRDefault="00BC2DA2" w:rsidP="00506B54">
            <w:pPr>
              <w:pStyle w:val="TAH"/>
              <w:rPr>
                <w:rFonts w:ascii="Times New Roman" w:hAnsi="Times New Roman"/>
                <w:sz w:val="20"/>
                <w:lang w:eastAsia="ja-JP"/>
              </w:rPr>
            </w:pPr>
            <w:r w:rsidRPr="009F2175">
              <w:rPr>
                <w:rFonts w:ascii="Times New Roman" w:hAnsi="Times New Roman"/>
                <w:sz w:val="20"/>
                <w:lang w:eastAsia="ja-JP"/>
              </w:rPr>
              <w:t>RAN3’s work</w:t>
            </w:r>
          </w:p>
        </w:tc>
      </w:tr>
      <w:tr w:rsidR="00BC2DA2" w14:paraId="726335E5" w14:textId="77777777" w:rsidTr="007F437C">
        <w:trPr>
          <w:trHeight w:val="1589"/>
        </w:trPr>
        <w:tc>
          <w:tcPr>
            <w:tcW w:w="1899" w:type="dxa"/>
            <w:tcBorders>
              <w:top w:val="single" w:sz="4" w:space="0" w:color="auto"/>
              <w:left w:val="single" w:sz="4" w:space="0" w:color="auto"/>
              <w:bottom w:val="single" w:sz="4" w:space="0" w:color="auto"/>
              <w:right w:val="single" w:sz="4" w:space="0" w:color="auto"/>
            </w:tcBorders>
            <w:hideMark/>
          </w:tcPr>
          <w:p w14:paraId="64E30A7C" w14:textId="77777777" w:rsidR="00BC2DA2" w:rsidRPr="009F2175" w:rsidRDefault="00BC2DA2" w:rsidP="00506B54">
            <w:pPr>
              <w:pStyle w:val="TAL"/>
              <w:rPr>
                <w:rFonts w:ascii="Times New Roman" w:hAnsi="Times New Roman"/>
                <w:bCs/>
                <w:iCs/>
                <w:lang w:eastAsia="ja-JP"/>
              </w:rPr>
            </w:pPr>
            <w:r w:rsidRPr="009F2175">
              <w:rPr>
                <w:rFonts w:ascii="Times New Roman" w:hAnsi="Times New Roman"/>
              </w:rPr>
              <w:t>Key Issue #1: Mobile base station relay configuration support in 5GC</w:t>
            </w:r>
          </w:p>
        </w:tc>
        <w:tc>
          <w:tcPr>
            <w:tcW w:w="5167" w:type="dxa"/>
            <w:tcBorders>
              <w:top w:val="single" w:sz="4" w:space="0" w:color="auto"/>
              <w:left w:val="single" w:sz="4" w:space="0" w:color="auto"/>
              <w:bottom w:val="single" w:sz="4" w:space="0" w:color="auto"/>
              <w:right w:val="single" w:sz="4" w:space="0" w:color="auto"/>
            </w:tcBorders>
            <w:hideMark/>
          </w:tcPr>
          <w:p w14:paraId="751626D6" w14:textId="77777777" w:rsidR="00BC2DA2" w:rsidRPr="009F2175" w:rsidRDefault="00BC2DA2" w:rsidP="00506B54">
            <w:pPr>
              <w:rPr>
                <w:sz w:val="18"/>
              </w:rPr>
            </w:pPr>
            <w:r w:rsidRPr="009F2175">
              <w:rPr>
                <w:sz w:val="18"/>
              </w:rPr>
              <w:t>The MBSR IAB-UE configuration using the existing UE Policy mechanism (as defined in TS 23.503 [7]) or other existing mechanism (e.g. configuration of preferred or forbidden PLMNs) can be used together with the OAM based configuration.</w:t>
            </w:r>
          </w:p>
          <w:p w14:paraId="6DDCE03E" w14:textId="77777777" w:rsidR="00BC2DA2" w:rsidRPr="009F2175" w:rsidRDefault="00BC2DA2" w:rsidP="00506B54">
            <w:pPr>
              <w:pStyle w:val="NO"/>
              <w:rPr>
                <w:sz w:val="18"/>
              </w:rPr>
            </w:pPr>
            <w:r w:rsidRPr="009F2175">
              <w:rPr>
                <w:sz w:val="18"/>
                <w:highlight w:val="yellow"/>
              </w:rPr>
              <w:t>NOTE 2:</w:t>
            </w:r>
            <w:r w:rsidRPr="009F2175">
              <w:rPr>
                <w:sz w:val="18"/>
                <w:highlight w:val="yellow"/>
              </w:rPr>
              <w:tab/>
              <w:t>Whether there is additional need of the UE policy information update can be further synched based on RAN WG feedback.</w:t>
            </w:r>
          </w:p>
          <w:p w14:paraId="4D939825" w14:textId="77777777" w:rsidR="00BC2DA2" w:rsidRPr="009F2175" w:rsidRDefault="00BC2DA2" w:rsidP="00506B54">
            <w:pPr>
              <w:pStyle w:val="TAL"/>
              <w:rPr>
                <w:rFonts w:ascii="Times New Roman" w:hAnsi="Times New Roman"/>
                <w:lang w:eastAsia="ja-JP"/>
              </w:rPr>
            </w:pPr>
          </w:p>
        </w:tc>
        <w:tc>
          <w:tcPr>
            <w:tcW w:w="2235" w:type="dxa"/>
            <w:tcBorders>
              <w:top w:val="single" w:sz="4" w:space="0" w:color="auto"/>
              <w:left w:val="single" w:sz="4" w:space="0" w:color="auto"/>
              <w:bottom w:val="single" w:sz="4" w:space="0" w:color="auto"/>
              <w:right w:val="single" w:sz="4" w:space="0" w:color="auto"/>
            </w:tcBorders>
            <w:hideMark/>
          </w:tcPr>
          <w:p w14:paraId="32409364" w14:textId="3AD4CCDD" w:rsidR="0042640A" w:rsidRPr="007F437C" w:rsidRDefault="00BC2DA2" w:rsidP="00506B54">
            <w:pPr>
              <w:pStyle w:val="TAL"/>
              <w:rPr>
                <w:rFonts w:ascii="Times New Roman" w:hAnsi="Times New Roman"/>
                <w:lang w:eastAsia="zh-CN"/>
              </w:rPr>
            </w:pPr>
            <w:r w:rsidRPr="009F2175">
              <w:rPr>
                <w:rFonts w:ascii="Times New Roman" w:hAnsi="Times New Roman"/>
                <w:lang w:eastAsia="ja-JP"/>
              </w:rPr>
              <w:t>If RAN3 agrees to introduce operation related information, RAN3 need to further discuss how to introduce the information and potential spec impact on NGAP or F1AP</w:t>
            </w:r>
            <w:r w:rsidR="009F2175">
              <w:rPr>
                <w:rFonts w:ascii="Times New Roman" w:hAnsi="Times New Roman" w:hint="eastAsia"/>
                <w:lang w:eastAsia="zh-CN"/>
              </w:rPr>
              <w:t>.</w:t>
            </w:r>
          </w:p>
        </w:tc>
      </w:tr>
    </w:tbl>
    <w:p w14:paraId="51935D92" w14:textId="77777777" w:rsidR="00C02154" w:rsidRPr="00BC2DA2" w:rsidRDefault="00C02154" w:rsidP="00B319E0">
      <w:pPr>
        <w:pStyle w:val="B1"/>
        <w:ind w:left="0" w:firstLine="0"/>
      </w:pPr>
    </w:p>
    <w:p w14:paraId="6631EDBD" w14:textId="057BBD57" w:rsidR="009D16A6" w:rsidRPr="00BC2DA2" w:rsidRDefault="009D16A6" w:rsidP="00B319E0">
      <w:pPr>
        <w:pStyle w:val="B1"/>
        <w:ind w:left="0" w:firstLine="0"/>
        <w:rPr>
          <w:b/>
          <w:sz w:val="22"/>
        </w:rPr>
      </w:pPr>
      <w:r w:rsidRPr="00BC2DA2">
        <w:rPr>
          <w:b/>
          <w:sz w:val="22"/>
        </w:rPr>
        <w:t xml:space="preserve">Observation </w:t>
      </w:r>
      <w:r w:rsidR="00BC2DA2" w:rsidRPr="00BC2DA2">
        <w:rPr>
          <w:b/>
          <w:sz w:val="22"/>
        </w:rPr>
        <w:t>1</w:t>
      </w:r>
      <w:r w:rsidRPr="00BC2DA2">
        <w:rPr>
          <w:b/>
          <w:sz w:val="22"/>
        </w:rPr>
        <w:t xml:space="preserve">, it would be very helpful if the </w:t>
      </w:r>
      <w:r w:rsidR="00683FE8" w:rsidRPr="00BC2DA2">
        <w:rPr>
          <w:b/>
          <w:sz w:val="22"/>
        </w:rPr>
        <w:t xml:space="preserve">operation related </w:t>
      </w:r>
      <w:r w:rsidR="00BC2DA2" w:rsidRPr="00BC2DA2">
        <w:rPr>
          <w:b/>
          <w:sz w:val="22"/>
        </w:rPr>
        <w:t>information (e.g. Geographic restrictions, allowed PLMNs, allowed operation time and/or speed) can</w:t>
      </w:r>
      <w:r w:rsidR="00683FE8" w:rsidRPr="00BC2DA2">
        <w:rPr>
          <w:b/>
          <w:sz w:val="22"/>
        </w:rPr>
        <w:t xml:space="preserve"> be provided</w:t>
      </w:r>
      <w:r w:rsidR="007F437C">
        <w:rPr>
          <w:b/>
          <w:sz w:val="22"/>
        </w:rPr>
        <w:t xml:space="preserve"> to IAB-donor</w:t>
      </w:r>
      <w:r w:rsidR="00046539">
        <w:rPr>
          <w:b/>
          <w:sz w:val="22"/>
        </w:rPr>
        <w:t xml:space="preserve"> for better UE mobility management</w:t>
      </w:r>
      <w:r w:rsidR="00683FE8" w:rsidRPr="00BC2DA2">
        <w:rPr>
          <w:b/>
          <w:sz w:val="22"/>
        </w:rPr>
        <w:t>.</w:t>
      </w:r>
    </w:p>
    <w:p w14:paraId="6524CAD5" w14:textId="00C32F7B" w:rsidR="00683FE8" w:rsidRPr="00BC2DA2" w:rsidRDefault="00683FE8" w:rsidP="00B319E0">
      <w:pPr>
        <w:pStyle w:val="B1"/>
        <w:ind w:left="0" w:firstLine="0"/>
        <w:rPr>
          <w:b/>
          <w:sz w:val="22"/>
        </w:rPr>
      </w:pPr>
      <w:bookmarkStart w:id="3" w:name="_GoBack"/>
      <w:r w:rsidRPr="00BC2DA2">
        <w:rPr>
          <w:b/>
          <w:sz w:val="22"/>
        </w:rPr>
        <w:t>Proposal</w:t>
      </w:r>
      <w:bookmarkEnd w:id="3"/>
      <w:r w:rsidR="00BC2DA2">
        <w:rPr>
          <w:b/>
          <w:sz w:val="22"/>
        </w:rPr>
        <w:t xml:space="preserve"> </w:t>
      </w:r>
      <w:r w:rsidR="00700394">
        <w:rPr>
          <w:b/>
          <w:sz w:val="22"/>
        </w:rPr>
        <w:t>1</w:t>
      </w:r>
      <w:r w:rsidRPr="00BC2DA2">
        <w:rPr>
          <w:b/>
          <w:sz w:val="22"/>
        </w:rPr>
        <w:t xml:space="preserve">, RAN3 answers to SA2 </w:t>
      </w:r>
      <w:r w:rsidR="00BC2DA2">
        <w:rPr>
          <w:b/>
          <w:sz w:val="22"/>
        </w:rPr>
        <w:t xml:space="preserve">that </w:t>
      </w:r>
      <w:r w:rsidR="00BC2DA2" w:rsidRPr="00BC2DA2">
        <w:rPr>
          <w:b/>
          <w:sz w:val="22"/>
        </w:rPr>
        <w:t>operation related information</w:t>
      </w:r>
      <w:r w:rsidR="00BC2DA2">
        <w:rPr>
          <w:b/>
          <w:sz w:val="22"/>
        </w:rPr>
        <w:t xml:space="preserve"> can be provided as additional </w:t>
      </w:r>
      <w:r w:rsidR="00506B54">
        <w:rPr>
          <w:b/>
          <w:sz w:val="22"/>
        </w:rPr>
        <w:t xml:space="preserve">IAB authorization or UE policy </w:t>
      </w:r>
      <w:r w:rsidR="00BC2DA2">
        <w:rPr>
          <w:b/>
          <w:sz w:val="22"/>
        </w:rPr>
        <w:t>information</w:t>
      </w:r>
      <w:r w:rsidR="007F437C">
        <w:rPr>
          <w:b/>
          <w:sz w:val="22"/>
        </w:rPr>
        <w:t xml:space="preserve"> to IAB-donor-CU</w:t>
      </w:r>
      <w:r w:rsidRPr="00BC2DA2">
        <w:rPr>
          <w:b/>
          <w:sz w:val="22"/>
        </w:rPr>
        <w:t>.</w:t>
      </w:r>
    </w:p>
    <w:p w14:paraId="3536E05B" w14:textId="3CCCEA0B" w:rsidR="00A31288" w:rsidRDefault="00A31288" w:rsidP="00B319E0">
      <w:pPr>
        <w:pStyle w:val="2"/>
      </w:pPr>
      <w:r>
        <w:t>2.2</w:t>
      </w:r>
      <w:r>
        <w:tab/>
      </w:r>
      <w:r w:rsidR="00CF52CD" w:rsidRPr="00CF52CD">
        <w:t>For point#2 (regarding KI#3)</w:t>
      </w:r>
    </w:p>
    <w:p w14:paraId="573DC977" w14:textId="77777777" w:rsidR="00CF52CD" w:rsidRPr="00BC2DA2" w:rsidRDefault="00F42AA0" w:rsidP="00CF52CD">
      <w:pPr>
        <w:pStyle w:val="B1"/>
        <w:rPr>
          <w:i/>
          <w:color w:val="0000FF"/>
        </w:rPr>
      </w:pPr>
      <w:r w:rsidRPr="00BC2DA2">
        <w:rPr>
          <w:color w:val="0000FF"/>
        </w:rPr>
        <w:t>-</w:t>
      </w:r>
      <w:r w:rsidRPr="00BC2DA2">
        <w:rPr>
          <w:color w:val="0000FF"/>
        </w:rPr>
        <w:tab/>
      </w:r>
      <w:r w:rsidR="00CF52CD" w:rsidRPr="00BC2DA2">
        <w:rPr>
          <w:i/>
          <w:color w:val="0000FF"/>
        </w:rPr>
        <w:t xml:space="preserve">For point#2 (regarding KI#3),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p w14:paraId="6FB6C1BB" w14:textId="16561331" w:rsidR="00CF52CD" w:rsidRPr="00BC2DA2" w:rsidRDefault="00BC2DA2" w:rsidP="00BC2DA2">
      <w:pPr>
        <w:jc w:val="both"/>
        <w:rPr>
          <w:sz w:val="22"/>
        </w:rPr>
      </w:pPr>
      <w:r>
        <w:rPr>
          <w:sz w:val="22"/>
        </w:rPr>
        <w:t xml:space="preserve">For point#2, </w:t>
      </w:r>
      <w:r w:rsidR="00CF52CD" w:rsidRPr="00BC2DA2">
        <w:rPr>
          <w:sz w:val="22"/>
        </w:rPr>
        <w:t xml:space="preserve">RAN3 </w:t>
      </w:r>
      <w:r>
        <w:rPr>
          <w:sz w:val="22"/>
        </w:rPr>
        <w:t>had the following agreement and will discuss whether enhancement is needed in t</w:t>
      </w:r>
      <w:r w:rsidR="007F437C">
        <w:rPr>
          <w:sz w:val="22"/>
        </w:rPr>
        <w:t>his</w:t>
      </w:r>
      <w:r>
        <w:rPr>
          <w:sz w:val="22"/>
        </w:rPr>
        <w:t xml:space="preserve"> meeting. </w:t>
      </w:r>
      <w:r w:rsidR="00700394">
        <w:rPr>
          <w:sz w:val="22"/>
        </w:rPr>
        <w:t>In our view, dynamic TAC can be performed without any RAN3 impact, and there will be no signalling is</w:t>
      </w:r>
      <w:r w:rsidR="00700394">
        <w:rPr>
          <w:rFonts w:hint="eastAsia"/>
          <w:sz w:val="22"/>
          <w:lang w:eastAsia="zh-CN"/>
        </w:rPr>
        <w:t>sue</w:t>
      </w:r>
      <w:r w:rsidR="00700394">
        <w:rPr>
          <w:sz w:val="22"/>
        </w:rPr>
        <w:t xml:space="preserve"> </w:t>
      </w:r>
      <w:r w:rsidR="00700394">
        <w:rPr>
          <w:rFonts w:hint="eastAsia"/>
          <w:sz w:val="22"/>
          <w:lang w:eastAsia="zh-CN"/>
        </w:rPr>
        <w:t>(</w:t>
      </w:r>
      <w:r w:rsidR="00700394">
        <w:rPr>
          <w:sz w:val="22"/>
          <w:lang w:eastAsia="zh-CN"/>
        </w:rPr>
        <w:t xml:space="preserve">i.e. frequent or </w:t>
      </w:r>
      <w:r w:rsidR="007F437C">
        <w:rPr>
          <w:sz w:val="22"/>
          <w:lang w:eastAsia="zh-CN"/>
        </w:rPr>
        <w:t>a large number of</w:t>
      </w:r>
      <w:r w:rsidR="00700394" w:rsidRPr="00700394">
        <w:rPr>
          <w:sz w:val="22"/>
          <w:lang w:eastAsia="zh-CN"/>
        </w:rPr>
        <w:t xml:space="preserve"> </w:t>
      </w:r>
      <w:r w:rsidR="007F437C">
        <w:rPr>
          <w:sz w:val="22"/>
          <w:lang w:eastAsia="zh-CN"/>
        </w:rPr>
        <w:t>RAU</w:t>
      </w:r>
      <w:r w:rsidR="00700394">
        <w:rPr>
          <w:sz w:val="22"/>
          <w:lang w:eastAsia="zh-CN"/>
        </w:rPr>
        <w:t>) if the CN can properly assign RA to the UEs</w:t>
      </w:r>
      <w:r w:rsidR="007F437C">
        <w:rPr>
          <w:sz w:val="22"/>
          <w:lang w:eastAsia="zh-CN"/>
        </w:rPr>
        <w:t xml:space="preserve"> by being aware of UE’s access via mobile IAB-node</w:t>
      </w:r>
      <w:r w:rsidR="00700394">
        <w:rPr>
          <w:sz w:val="22"/>
          <w:lang w:eastAsia="zh-CN"/>
        </w:rPr>
        <w:t xml:space="preserve">. Anyway, this will be discussed in AI 13.2 and </w:t>
      </w:r>
      <w:r>
        <w:rPr>
          <w:sz w:val="22"/>
        </w:rPr>
        <w:t xml:space="preserve">RAN3 can provide the answer and progress status </w:t>
      </w:r>
      <w:r w:rsidR="00700394">
        <w:rPr>
          <w:sz w:val="22"/>
        </w:rPr>
        <w:t xml:space="preserve">to SA2 accordingly. </w:t>
      </w:r>
    </w:p>
    <w:p w14:paraId="513319D8" w14:textId="77777777" w:rsidR="00CF52CD" w:rsidRPr="00700394" w:rsidRDefault="00CF52CD" w:rsidP="00CF52CD">
      <w:pPr>
        <w:widowControl w:val="0"/>
        <w:rPr>
          <w:rFonts w:ascii="Calibri" w:hAnsi="Calibri" w:cs="Calibri"/>
          <w:b/>
          <w:bCs/>
          <w:color w:val="008000"/>
          <w:szCs w:val="18"/>
        </w:rPr>
      </w:pPr>
      <w:r w:rsidRPr="00700394">
        <w:rPr>
          <w:rFonts w:ascii="Calibri" w:hAnsi="Calibri" w:cs="Calibri"/>
          <w:b/>
          <w:bCs/>
          <w:color w:val="008000"/>
          <w:szCs w:val="18"/>
        </w:rPr>
        <w:t xml:space="preserve">RAN3 assumes that dynamic TAC solution should be supported. </w:t>
      </w:r>
    </w:p>
    <w:p w14:paraId="30735780" w14:textId="5289198D" w:rsidR="00CF52CD" w:rsidRDefault="00CF52CD" w:rsidP="00CF52CD">
      <w:pPr>
        <w:widowControl w:val="0"/>
        <w:rPr>
          <w:rFonts w:ascii="Calibri" w:hAnsi="Calibri" w:cs="Calibri"/>
          <w:b/>
          <w:bCs/>
          <w:color w:val="008000"/>
          <w:szCs w:val="18"/>
        </w:rPr>
      </w:pPr>
      <w:r w:rsidRPr="00700394">
        <w:rPr>
          <w:rFonts w:ascii="Calibri" w:hAnsi="Calibri" w:cs="Calibri"/>
          <w:b/>
          <w:bCs/>
          <w:color w:val="008000"/>
          <w:szCs w:val="18"/>
        </w:rPr>
        <w:t xml:space="preserve">RAN3 to continue discussions on impacts (if any) of dynamic TAC solutions on RAN3 specs </w:t>
      </w:r>
    </w:p>
    <w:p w14:paraId="630EEBDF" w14:textId="04767587" w:rsidR="00700394" w:rsidRPr="00BC2DA2" w:rsidRDefault="00046539" w:rsidP="00700394">
      <w:pPr>
        <w:pStyle w:val="B1"/>
        <w:ind w:left="0" w:firstLine="0"/>
        <w:rPr>
          <w:sz w:val="22"/>
          <w:lang w:val="en-US"/>
        </w:rPr>
      </w:pPr>
      <w:r>
        <w:rPr>
          <w:sz w:val="22"/>
          <w:lang w:val="en-US"/>
        </w:rPr>
        <w:t>And b</w:t>
      </w:r>
      <w:r w:rsidR="00700394">
        <w:rPr>
          <w:sz w:val="22"/>
          <w:lang w:val="en-US"/>
        </w:rPr>
        <w:t>elow is the summary for K1#3:</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5167"/>
        <w:gridCol w:w="2235"/>
      </w:tblGrid>
      <w:tr w:rsidR="00700394" w14:paraId="578AE85A" w14:textId="77777777" w:rsidTr="00506B54">
        <w:trPr>
          <w:trHeight w:val="261"/>
        </w:trPr>
        <w:tc>
          <w:tcPr>
            <w:tcW w:w="1899" w:type="dxa"/>
            <w:tcBorders>
              <w:top w:val="single" w:sz="4" w:space="0" w:color="auto"/>
              <w:left w:val="single" w:sz="4" w:space="0" w:color="auto"/>
              <w:bottom w:val="single" w:sz="4" w:space="0" w:color="auto"/>
              <w:right w:val="single" w:sz="4" w:space="0" w:color="auto"/>
            </w:tcBorders>
            <w:vAlign w:val="center"/>
            <w:hideMark/>
          </w:tcPr>
          <w:p w14:paraId="4E7BAD37" w14:textId="48D0AF66" w:rsidR="00700394" w:rsidRPr="003F72F0" w:rsidRDefault="003F72F0" w:rsidP="00506B54">
            <w:pPr>
              <w:pStyle w:val="TAH"/>
              <w:rPr>
                <w:rFonts w:ascii="Times New Roman" w:hAnsi="Times New Roman"/>
                <w:sz w:val="20"/>
                <w:szCs w:val="18"/>
                <w:lang w:eastAsia="ja-JP"/>
              </w:rPr>
            </w:pPr>
            <w:r w:rsidRPr="003F72F0">
              <w:rPr>
                <w:rFonts w:ascii="Times New Roman" w:hAnsi="Times New Roman"/>
                <w:sz w:val="20"/>
                <w:szCs w:val="18"/>
                <w:lang w:eastAsia="ja-JP"/>
              </w:rPr>
              <w:lastRenderedPageBreak/>
              <w:t>SA2’s KI</w:t>
            </w:r>
          </w:p>
        </w:tc>
        <w:tc>
          <w:tcPr>
            <w:tcW w:w="5167" w:type="dxa"/>
            <w:tcBorders>
              <w:top w:val="single" w:sz="4" w:space="0" w:color="auto"/>
              <w:left w:val="single" w:sz="4" w:space="0" w:color="auto"/>
              <w:bottom w:val="single" w:sz="4" w:space="0" w:color="auto"/>
              <w:right w:val="single" w:sz="4" w:space="0" w:color="auto"/>
            </w:tcBorders>
            <w:vAlign w:val="center"/>
            <w:hideMark/>
          </w:tcPr>
          <w:p w14:paraId="79B103B3" w14:textId="77777777" w:rsidR="00700394" w:rsidRPr="003F72F0" w:rsidRDefault="00700394" w:rsidP="00506B54">
            <w:pPr>
              <w:pStyle w:val="TAH"/>
              <w:rPr>
                <w:rFonts w:ascii="Times New Roman" w:hAnsi="Times New Roman"/>
                <w:sz w:val="20"/>
                <w:szCs w:val="18"/>
                <w:lang w:eastAsia="ja-JP"/>
              </w:rPr>
            </w:pPr>
            <w:r w:rsidRPr="003F72F0">
              <w:rPr>
                <w:rFonts w:ascii="Times New Roman" w:hAnsi="Times New Roman"/>
                <w:sz w:val="20"/>
                <w:szCs w:val="18"/>
                <w:lang w:eastAsia="ja-JP"/>
              </w:rPr>
              <w:t>SA2 conclusion related to RAN</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6E7D960" w14:textId="77777777" w:rsidR="00700394" w:rsidRPr="003F72F0" w:rsidRDefault="00700394" w:rsidP="00506B54">
            <w:pPr>
              <w:pStyle w:val="TAH"/>
              <w:rPr>
                <w:rFonts w:ascii="Times New Roman" w:hAnsi="Times New Roman"/>
                <w:sz w:val="20"/>
                <w:szCs w:val="18"/>
                <w:lang w:eastAsia="ja-JP"/>
              </w:rPr>
            </w:pPr>
            <w:r w:rsidRPr="003F72F0">
              <w:rPr>
                <w:rFonts w:ascii="Times New Roman" w:hAnsi="Times New Roman"/>
                <w:sz w:val="20"/>
                <w:szCs w:val="18"/>
                <w:lang w:eastAsia="ja-JP"/>
              </w:rPr>
              <w:t>RAN3’s work</w:t>
            </w:r>
          </w:p>
        </w:tc>
      </w:tr>
      <w:tr w:rsidR="00700394" w14:paraId="5A211E01" w14:textId="77777777" w:rsidTr="00506B54">
        <w:trPr>
          <w:trHeight w:val="1772"/>
        </w:trPr>
        <w:tc>
          <w:tcPr>
            <w:tcW w:w="1899" w:type="dxa"/>
            <w:tcBorders>
              <w:top w:val="single" w:sz="4" w:space="0" w:color="auto"/>
              <w:left w:val="single" w:sz="4" w:space="0" w:color="auto"/>
              <w:bottom w:val="single" w:sz="4" w:space="0" w:color="auto"/>
              <w:right w:val="single" w:sz="4" w:space="0" w:color="auto"/>
            </w:tcBorders>
            <w:hideMark/>
          </w:tcPr>
          <w:p w14:paraId="0700B28B" w14:textId="3FFD7863" w:rsidR="00700394" w:rsidRPr="00700394" w:rsidRDefault="00700394" w:rsidP="00506B54">
            <w:pPr>
              <w:pStyle w:val="TAL"/>
              <w:rPr>
                <w:rFonts w:ascii="Times New Roman" w:hAnsi="Times New Roman"/>
                <w:bCs/>
                <w:iCs/>
                <w:szCs w:val="18"/>
                <w:lang w:eastAsia="ja-JP"/>
              </w:rPr>
            </w:pPr>
            <w:r w:rsidRPr="00700394">
              <w:rPr>
                <w:rFonts w:ascii="Times New Roman" w:hAnsi="Times New Roman"/>
                <w:szCs w:val="18"/>
                <w:lang w:eastAsia="ko-KR"/>
              </w:rPr>
              <w:t>Key Issue #3: Efficient mobility and service continuity when served by mobile base station relay</w:t>
            </w:r>
          </w:p>
        </w:tc>
        <w:tc>
          <w:tcPr>
            <w:tcW w:w="5167" w:type="dxa"/>
            <w:tcBorders>
              <w:top w:val="single" w:sz="4" w:space="0" w:color="auto"/>
              <w:left w:val="single" w:sz="4" w:space="0" w:color="auto"/>
              <w:bottom w:val="single" w:sz="4" w:space="0" w:color="auto"/>
              <w:right w:val="single" w:sz="4" w:space="0" w:color="auto"/>
            </w:tcBorders>
            <w:hideMark/>
          </w:tcPr>
          <w:p w14:paraId="3D75B114" w14:textId="64BC3CBA" w:rsidR="00700394" w:rsidRPr="00700394" w:rsidRDefault="00700394" w:rsidP="009F2175">
            <w:pPr>
              <w:pStyle w:val="B1"/>
              <w:ind w:left="284" w:firstLine="0"/>
              <w:rPr>
                <w:sz w:val="18"/>
                <w:szCs w:val="18"/>
              </w:rPr>
            </w:pPr>
            <w:r w:rsidRPr="00700394">
              <w:rPr>
                <w:sz w:val="18"/>
                <w:szCs w:val="18"/>
              </w:rPr>
              <w:t xml:space="preserve">The TAC broadcasted by the MBSR cell(s) is configured by the Donor </w:t>
            </w:r>
            <w:proofErr w:type="spellStart"/>
            <w:r w:rsidRPr="00700394">
              <w:rPr>
                <w:sz w:val="18"/>
                <w:szCs w:val="18"/>
              </w:rPr>
              <w:t>gNB</w:t>
            </w:r>
            <w:proofErr w:type="spellEnd"/>
            <w:r w:rsidRPr="00700394">
              <w:rPr>
                <w:sz w:val="18"/>
                <w:szCs w:val="18"/>
              </w:rPr>
              <w:t xml:space="preserve"> and whether this is the same as the one of the </w:t>
            </w:r>
            <w:proofErr w:type="gramStart"/>
            <w:r w:rsidRPr="00700394">
              <w:rPr>
                <w:sz w:val="18"/>
                <w:szCs w:val="18"/>
              </w:rPr>
              <w:t>cell</w:t>
            </w:r>
            <w:proofErr w:type="gramEnd"/>
            <w:r w:rsidRPr="00700394">
              <w:rPr>
                <w:sz w:val="18"/>
                <w:szCs w:val="18"/>
              </w:rPr>
              <w:t xml:space="preserve"> of the Donor </w:t>
            </w:r>
            <w:proofErr w:type="spellStart"/>
            <w:r w:rsidRPr="00700394">
              <w:rPr>
                <w:sz w:val="18"/>
                <w:szCs w:val="18"/>
              </w:rPr>
              <w:t>gNB</w:t>
            </w:r>
            <w:proofErr w:type="spellEnd"/>
            <w:r w:rsidRPr="00700394">
              <w:rPr>
                <w:sz w:val="18"/>
                <w:szCs w:val="18"/>
              </w:rPr>
              <w:t xml:space="preserve"> serving the MBSR, or not, will be based on alignment with RAN WGs and SA2 may align specifications if SA WG2 specifications impact is identified.</w:t>
            </w:r>
          </w:p>
          <w:p w14:paraId="67172667" w14:textId="77777777" w:rsidR="00700394" w:rsidRPr="00700394" w:rsidRDefault="00700394" w:rsidP="00700394">
            <w:pPr>
              <w:pStyle w:val="NO"/>
              <w:rPr>
                <w:sz w:val="18"/>
                <w:szCs w:val="18"/>
              </w:rPr>
            </w:pPr>
            <w:r w:rsidRPr="00700394">
              <w:rPr>
                <w:sz w:val="18"/>
                <w:szCs w:val="18"/>
              </w:rPr>
              <w:t>NOTE:</w:t>
            </w:r>
            <w:r w:rsidRPr="00700394">
              <w:rPr>
                <w:sz w:val="18"/>
                <w:szCs w:val="18"/>
              </w:rPr>
              <w:tab/>
            </w:r>
            <w:r w:rsidRPr="00700394">
              <w:rPr>
                <w:sz w:val="18"/>
                <w:szCs w:val="18"/>
                <w:highlight w:val="yellow"/>
              </w:rPr>
              <w:t>Normative work will be based on RAN decisions.</w:t>
            </w:r>
          </w:p>
          <w:p w14:paraId="7E292AF6" w14:textId="59ED6DE0" w:rsidR="00700394" w:rsidRPr="00700394" w:rsidRDefault="00700394" w:rsidP="009F2175">
            <w:pPr>
              <w:pStyle w:val="B1"/>
              <w:ind w:left="284" w:firstLine="0"/>
              <w:rPr>
                <w:sz w:val="18"/>
                <w:szCs w:val="18"/>
              </w:rPr>
            </w:pPr>
            <w:r w:rsidRPr="00700394">
              <w:rPr>
                <w:sz w:val="18"/>
                <w:szCs w:val="18"/>
              </w:rPr>
              <w:t xml:space="preserve">Each UE connected via the MBSR may have different serving AMFs e.g., due to slicing and individual PDU sessions/QoS service flows configured. </w:t>
            </w:r>
            <w:r w:rsidRPr="00700394">
              <w:rPr>
                <w:sz w:val="18"/>
                <w:szCs w:val="18"/>
                <w:highlight w:val="yellow"/>
              </w:rPr>
              <w:t>UE context handling and path switching would be handled per each individual UE.</w:t>
            </w:r>
          </w:p>
          <w:p w14:paraId="0C620EA4" w14:textId="163BE937" w:rsidR="00700394" w:rsidRPr="00700394" w:rsidRDefault="00700394" w:rsidP="009F2175">
            <w:pPr>
              <w:pStyle w:val="B1"/>
              <w:ind w:left="284" w:firstLine="0"/>
              <w:rPr>
                <w:sz w:val="18"/>
                <w:szCs w:val="18"/>
              </w:rPr>
            </w:pPr>
            <w:r w:rsidRPr="00700394">
              <w:rPr>
                <w:sz w:val="18"/>
                <w:szCs w:val="18"/>
              </w:rPr>
              <w:t xml:space="preserve">No normative work for Group mobility of the UEs served by the MBSR. </w:t>
            </w:r>
            <w:r w:rsidRPr="00700394">
              <w:rPr>
                <w:sz w:val="18"/>
                <w:szCs w:val="18"/>
                <w:highlight w:val="yellow"/>
              </w:rPr>
              <w:t>Alignment of specifications may be done only if RAN WGs decide to support this.</w:t>
            </w:r>
          </w:p>
          <w:p w14:paraId="7C8E0269" w14:textId="77777777" w:rsidR="00700394" w:rsidRPr="00700394" w:rsidRDefault="00700394" w:rsidP="00506B54">
            <w:pPr>
              <w:pStyle w:val="TAL"/>
              <w:rPr>
                <w:rFonts w:ascii="Times New Roman" w:hAnsi="Times New Roman"/>
                <w:szCs w:val="18"/>
                <w:lang w:eastAsia="ja-JP"/>
              </w:rPr>
            </w:pPr>
          </w:p>
        </w:tc>
        <w:tc>
          <w:tcPr>
            <w:tcW w:w="2235" w:type="dxa"/>
            <w:tcBorders>
              <w:top w:val="single" w:sz="4" w:space="0" w:color="auto"/>
              <w:left w:val="single" w:sz="4" w:space="0" w:color="auto"/>
              <w:bottom w:val="single" w:sz="4" w:space="0" w:color="auto"/>
              <w:right w:val="single" w:sz="4" w:space="0" w:color="auto"/>
            </w:tcBorders>
            <w:hideMark/>
          </w:tcPr>
          <w:p w14:paraId="33784DA3" w14:textId="7E00DBFF" w:rsidR="00700394" w:rsidRDefault="00700394" w:rsidP="00506B54">
            <w:pPr>
              <w:pStyle w:val="TAL"/>
              <w:rPr>
                <w:rFonts w:ascii="Times New Roman" w:hAnsi="Times New Roman"/>
                <w:szCs w:val="18"/>
                <w:lang w:eastAsia="ja-JP"/>
              </w:rPr>
            </w:pPr>
            <w:r>
              <w:rPr>
                <w:rFonts w:ascii="Times New Roman" w:hAnsi="Times New Roman"/>
                <w:szCs w:val="18"/>
                <w:lang w:eastAsia="ja-JP"/>
              </w:rPr>
              <w:t>Dynamic TAC: no spec impact, RAU can be avoided by proper RA setting.</w:t>
            </w:r>
          </w:p>
          <w:p w14:paraId="2912FD11" w14:textId="77777777" w:rsidR="00700394" w:rsidRDefault="00700394" w:rsidP="00506B54">
            <w:pPr>
              <w:pStyle w:val="TAL"/>
              <w:rPr>
                <w:rFonts w:ascii="Times New Roman" w:hAnsi="Times New Roman"/>
                <w:szCs w:val="18"/>
                <w:lang w:eastAsia="ja-JP"/>
              </w:rPr>
            </w:pPr>
          </w:p>
          <w:p w14:paraId="1898AAF5" w14:textId="0AB7C613" w:rsidR="00700394" w:rsidRDefault="00A2521A" w:rsidP="00506B54">
            <w:pPr>
              <w:pStyle w:val="TAL"/>
              <w:rPr>
                <w:rFonts w:ascii="Times New Roman" w:hAnsi="Times New Roman"/>
                <w:szCs w:val="18"/>
                <w:lang w:eastAsia="ja-JP"/>
              </w:rPr>
            </w:pPr>
            <w:r>
              <w:rPr>
                <w:rFonts w:ascii="Times New Roman" w:hAnsi="Times New Roman"/>
                <w:szCs w:val="18"/>
                <w:lang w:eastAsia="ja-JP"/>
              </w:rPr>
              <w:t xml:space="preserve">UE </w:t>
            </w:r>
            <w:r w:rsidR="003F72F0">
              <w:rPr>
                <w:rFonts w:ascii="Times New Roman" w:hAnsi="Times New Roman"/>
                <w:szCs w:val="18"/>
                <w:lang w:eastAsia="ja-JP"/>
              </w:rPr>
              <w:t>mobility</w:t>
            </w:r>
            <w:r>
              <w:rPr>
                <w:rFonts w:ascii="Times New Roman" w:hAnsi="Times New Roman"/>
                <w:szCs w:val="18"/>
                <w:lang w:eastAsia="ja-JP"/>
              </w:rPr>
              <w:t xml:space="preserve"> enhancement</w:t>
            </w:r>
            <w:r w:rsidR="003F72F0">
              <w:rPr>
                <w:rFonts w:ascii="Times New Roman" w:hAnsi="Times New Roman"/>
                <w:szCs w:val="18"/>
                <w:lang w:eastAsia="ja-JP"/>
              </w:rPr>
              <w:t>: RAN3 can take SA2’s conclusion into account when discussing the mobility enhancement in RAN3</w:t>
            </w:r>
          </w:p>
          <w:p w14:paraId="30CBD2B7" w14:textId="77777777" w:rsidR="009F2175" w:rsidRDefault="009F2175" w:rsidP="00506B54">
            <w:pPr>
              <w:pStyle w:val="TAL"/>
              <w:rPr>
                <w:rFonts w:ascii="Times New Roman" w:hAnsi="Times New Roman"/>
                <w:szCs w:val="18"/>
                <w:lang w:eastAsia="ja-JP"/>
              </w:rPr>
            </w:pPr>
          </w:p>
          <w:p w14:paraId="6EFF7B11" w14:textId="786C8EF0" w:rsidR="009F2175" w:rsidRPr="00700394" w:rsidRDefault="009F2175" w:rsidP="00506B54">
            <w:pPr>
              <w:pStyle w:val="TAL"/>
              <w:rPr>
                <w:rFonts w:ascii="Times New Roman" w:hAnsi="Times New Roman"/>
                <w:szCs w:val="18"/>
                <w:lang w:eastAsia="ja-JP"/>
              </w:rPr>
            </w:pPr>
          </w:p>
        </w:tc>
      </w:tr>
    </w:tbl>
    <w:p w14:paraId="70A61827" w14:textId="77777777" w:rsidR="00700394" w:rsidRPr="00700394" w:rsidRDefault="00700394" w:rsidP="00CF52CD">
      <w:pPr>
        <w:widowControl w:val="0"/>
        <w:rPr>
          <w:rFonts w:ascii="Calibri" w:hAnsi="Calibri" w:cs="Calibri"/>
          <w:b/>
          <w:bCs/>
          <w:color w:val="008000"/>
          <w:szCs w:val="18"/>
        </w:rPr>
      </w:pPr>
    </w:p>
    <w:p w14:paraId="1F0A0684" w14:textId="06755AB4" w:rsidR="00700394" w:rsidRPr="00700394" w:rsidRDefault="00700394" w:rsidP="00700394">
      <w:pPr>
        <w:pStyle w:val="B1"/>
        <w:ind w:left="0" w:firstLine="0"/>
        <w:rPr>
          <w:b/>
          <w:sz w:val="22"/>
        </w:rPr>
      </w:pPr>
      <w:r w:rsidRPr="00700394">
        <w:rPr>
          <w:b/>
          <w:sz w:val="22"/>
        </w:rPr>
        <w:t>Observation 2, RAN3 agreed to support dynamic TAC.</w:t>
      </w:r>
    </w:p>
    <w:p w14:paraId="27DA2825" w14:textId="62BDB660" w:rsidR="005224DE" w:rsidRPr="00700394" w:rsidRDefault="00DC74C1" w:rsidP="00700394">
      <w:pPr>
        <w:pStyle w:val="B1"/>
        <w:ind w:left="0" w:firstLine="0"/>
        <w:rPr>
          <w:b/>
          <w:sz w:val="22"/>
        </w:rPr>
      </w:pPr>
      <w:r w:rsidRPr="00700394">
        <w:rPr>
          <w:b/>
          <w:sz w:val="22"/>
        </w:rPr>
        <w:t xml:space="preserve">Proposal </w:t>
      </w:r>
      <w:r w:rsidR="00700394" w:rsidRPr="00700394">
        <w:rPr>
          <w:b/>
          <w:sz w:val="22"/>
        </w:rPr>
        <w:t>2</w:t>
      </w:r>
      <w:r w:rsidRPr="00700394">
        <w:rPr>
          <w:b/>
          <w:sz w:val="22"/>
        </w:rPr>
        <w:t xml:space="preserve">, </w:t>
      </w:r>
      <w:r w:rsidR="00700394" w:rsidRPr="00700394">
        <w:rPr>
          <w:b/>
          <w:sz w:val="22"/>
        </w:rPr>
        <w:t>RAN3 answers to SA2 that RAN3 agree to support dynamic TAC and the potential impacts (if any) can be updated according to the discussion.</w:t>
      </w:r>
    </w:p>
    <w:p w14:paraId="76200A41" w14:textId="11BCC90A" w:rsidR="005845B8" w:rsidRDefault="00507FC6" w:rsidP="00570E70">
      <w:pPr>
        <w:pStyle w:val="2"/>
      </w:pPr>
      <w:r>
        <w:t>2.</w:t>
      </w:r>
      <w:r w:rsidR="005845B8">
        <w:t>3</w:t>
      </w:r>
      <w:r>
        <w:tab/>
      </w:r>
      <w:r w:rsidR="00CF52CD" w:rsidRPr="00CF52CD">
        <w:t>For point#4 (regarding KI#4)</w:t>
      </w:r>
    </w:p>
    <w:p w14:paraId="4636472A" w14:textId="309F1878" w:rsidR="005845B8" w:rsidRDefault="005845B8" w:rsidP="005845B8">
      <w:pPr>
        <w:pStyle w:val="B1"/>
      </w:pPr>
      <w:r>
        <w:t>-</w:t>
      </w:r>
      <w:r>
        <w:tab/>
      </w:r>
      <w:r w:rsidR="00CF52CD" w:rsidRPr="00B319E0">
        <w:rPr>
          <w:i/>
        </w:rPr>
        <w:t xml:space="preserve">For point#4 (regarding KI#4), SA2 concluded based on the RAN3 response that the MBSR would only connect to the donor </w:t>
      </w:r>
      <w:proofErr w:type="spellStart"/>
      <w:r w:rsidR="00CF52CD" w:rsidRPr="00B319E0">
        <w:rPr>
          <w:i/>
        </w:rPr>
        <w:t>gNB</w:t>
      </w:r>
      <w:proofErr w:type="spellEnd"/>
      <w:r w:rsidR="00CF52CD" w:rsidRPr="00B319E0">
        <w:rPr>
          <w:i/>
        </w:rPr>
        <w:t xml:space="preserve"> of the serving PLMN using the Rel-16/17 procedures. However, SA2 would like to review this again when RAN3 completes the full migration design.</w:t>
      </w:r>
    </w:p>
    <w:p w14:paraId="7925CF6F" w14:textId="28F65593" w:rsidR="00F36105" w:rsidRDefault="00F36105" w:rsidP="003F72F0">
      <w:pPr>
        <w:pStyle w:val="B1"/>
        <w:ind w:left="0" w:firstLine="0"/>
        <w:rPr>
          <w:sz w:val="22"/>
        </w:rPr>
      </w:pPr>
      <w:r w:rsidRPr="003F72F0">
        <w:rPr>
          <w:sz w:val="22"/>
        </w:rPr>
        <w:t xml:space="preserve">It is observed that the conclusion of KI#4 </w:t>
      </w:r>
      <w:r w:rsidRPr="003F72F0">
        <w:rPr>
          <w:rFonts w:hint="eastAsia"/>
          <w:sz w:val="22"/>
          <w:lang w:eastAsia="zh-CN"/>
        </w:rPr>
        <w:t>has</w:t>
      </w:r>
      <w:r w:rsidRPr="003F72F0">
        <w:rPr>
          <w:sz w:val="22"/>
        </w:rPr>
        <w:t xml:space="preserve"> </w:t>
      </w:r>
      <w:r w:rsidRPr="003F72F0">
        <w:rPr>
          <w:rFonts w:hint="eastAsia"/>
          <w:sz w:val="22"/>
          <w:lang w:eastAsia="zh-CN"/>
        </w:rPr>
        <w:t>relation</w:t>
      </w:r>
      <w:r w:rsidRPr="003F72F0">
        <w:rPr>
          <w:sz w:val="22"/>
        </w:rPr>
        <w:t xml:space="preserve"> </w:t>
      </w:r>
      <w:r w:rsidRPr="003F72F0">
        <w:rPr>
          <w:rFonts w:hint="eastAsia"/>
          <w:sz w:val="22"/>
          <w:lang w:eastAsia="zh-CN"/>
        </w:rPr>
        <w:t>to</w:t>
      </w:r>
      <w:r w:rsidRPr="003F72F0">
        <w:rPr>
          <w:sz w:val="22"/>
        </w:rPr>
        <w:t xml:space="preserve"> KI#1</w:t>
      </w:r>
      <w:r w:rsidR="00474FBC">
        <w:rPr>
          <w:sz w:val="22"/>
        </w:rPr>
        <w:t xml:space="preserve">, as we discussed in 2.1, we think RAN3 can further discuss </w:t>
      </w:r>
      <w:r w:rsidR="008D0185" w:rsidRPr="008D0185">
        <w:rPr>
          <w:sz w:val="22"/>
        </w:rPr>
        <w:t xml:space="preserve">whether </w:t>
      </w:r>
      <w:r w:rsidR="00A2521A">
        <w:rPr>
          <w:sz w:val="22"/>
        </w:rPr>
        <w:t>the operation related information of mobile IAB</w:t>
      </w:r>
      <w:r w:rsidR="008D0185" w:rsidRPr="008D0185">
        <w:rPr>
          <w:sz w:val="22"/>
        </w:rPr>
        <w:t xml:space="preserve"> is needed</w:t>
      </w:r>
      <w:r w:rsidR="008D0185">
        <w:rPr>
          <w:sz w:val="22"/>
        </w:rPr>
        <w:t>.</w:t>
      </w:r>
    </w:p>
    <w:p w14:paraId="37EAECBA" w14:textId="434DDF5C" w:rsidR="008D0185" w:rsidRPr="008D0185" w:rsidRDefault="008D0185" w:rsidP="003F72F0">
      <w:pPr>
        <w:pStyle w:val="B1"/>
        <w:ind w:left="0" w:firstLine="0"/>
        <w:rPr>
          <w:sz w:val="22"/>
          <w:lang w:val="en-US"/>
        </w:rPr>
      </w:pPr>
      <w:r>
        <w:rPr>
          <w:sz w:val="22"/>
          <w:lang w:val="en-US"/>
        </w:rPr>
        <w:t>Below is the summary for K1#</w:t>
      </w:r>
      <w:r w:rsidR="00BA57EA">
        <w:rPr>
          <w:sz w:val="22"/>
          <w:lang w:val="en-US"/>
        </w:rPr>
        <w:t>4</w:t>
      </w:r>
      <w:r>
        <w:rPr>
          <w:sz w:val="22"/>
          <w:lang w:val="en-US"/>
        </w:rPr>
        <w:t>:</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228"/>
        <w:gridCol w:w="2235"/>
      </w:tblGrid>
      <w:tr w:rsidR="003F72F0" w:rsidRPr="003F72F0" w14:paraId="51EEC882" w14:textId="77777777" w:rsidTr="003F72F0">
        <w:trPr>
          <w:trHeight w:val="261"/>
        </w:trPr>
        <w:tc>
          <w:tcPr>
            <w:tcW w:w="1838" w:type="dxa"/>
            <w:tcBorders>
              <w:top w:val="single" w:sz="4" w:space="0" w:color="auto"/>
              <w:left w:val="single" w:sz="4" w:space="0" w:color="auto"/>
              <w:bottom w:val="single" w:sz="4" w:space="0" w:color="auto"/>
              <w:right w:val="single" w:sz="4" w:space="0" w:color="auto"/>
            </w:tcBorders>
            <w:vAlign w:val="center"/>
            <w:hideMark/>
          </w:tcPr>
          <w:p w14:paraId="4A89AA31" w14:textId="77777777" w:rsidR="003F72F0" w:rsidRPr="003F72F0" w:rsidRDefault="003F72F0" w:rsidP="00506B54">
            <w:pPr>
              <w:pStyle w:val="TAH"/>
              <w:rPr>
                <w:rFonts w:ascii="Times New Roman" w:hAnsi="Times New Roman"/>
                <w:sz w:val="20"/>
                <w:szCs w:val="18"/>
                <w:lang w:eastAsia="ja-JP"/>
              </w:rPr>
            </w:pPr>
            <w:r w:rsidRPr="003F72F0">
              <w:rPr>
                <w:rFonts w:ascii="Times New Roman" w:hAnsi="Times New Roman"/>
                <w:sz w:val="20"/>
                <w:szCs w:val="18"/>
                <w:lang w:eastAsia="ja-JP"/>
              </w:rPr>
              <w:t>SA2’s KI</w:t>
            </w:r>
          </w:p>
        </w:tc>
        <w:tc>
          <w:tcPr>
            <w:tcW w:w="5228" w:type="dxa"/>
            <w:tcBorders>
              <w:top w:val="single" w:sz="4" w:space="0" w:color="auto"/>
              <w:left w:val="single" w:sz="4" w:space="0" w:color="auto"/>
              <w:bottom w:val="single" w:sz="4" w:space="0" w:color="auto"/>
              <w:right w:val="single" w:sz="4" w:space="0" w:color="auto"/>
            </w:tcBorders>
            <w:vAlign w:val="center"/>
            <w:hideMark/>
          </w:tcPr>
          <w:p w14:paraId="1E53058D" w14:textId="77777777" w:rsidR="003F72F0" w:rsidRPr="003F72F0" w:rsidRDefault="003F72F0" w:rsidP="00506B54">
            <w:pPr>
              <w:pStyle w:val="TAH"/>
              <w:rPr>
                <w:rFonts w:ascii="Times New Roman" w:hAnsi="Times New Roman"/>
                <w:sz w:val="20"/>
                <w:szCs w:val="18"/>
                <w:lang w:eastAsia="ja-JP"/>
              </w:rPr>
            </w:pPr>
            <w:r w:rsidRPr="003F72F0">
              <w:rPr>
                <w:rFonts w:ascii="Times New Roman" w:hAnsi="Times New Roman"/>
                <w:sz w:val="20"/>
                <w:szCs w:val="18"/>
                <w:lang w:eastAsia="ja-JP"/>
              </w:rPr>
              <w:t>SA2 conclusion related to RAN</w:t>
            </w:r>
          </w:p>
        </w:tc>
        <w:tc>
          <w:tcPr>
            <w:tcW w:w="2235" w:type="dxa"/>
            <w:tcBorders>
              <w:top w:val="single" w:sz="4" w:space="0" w:color="auto"/>
              <w:left w:val="single" w:sz="4" w:space="0" w:color="auto"/>
              <w:bottom w:val="single" w:sz="4" w:space="0" w:color="auto"/>
              <w:right w:val="single" w:sz="4" w:space="0" w:color="auto"/>
            </w:tcBorders>
            <w:vAlign w:val="center"/>
            <w:hideMark/>
          </w:tcPr>
          <w:p w14:paraId="7208AD57" w14:textId="77777777" w:rsidR="003F72F0" w:rsidRPr="003F72F0" w:rsidRDefault="003F72F0" w:rsidP="00506B54">
            <w:pPr>
              <w:pStyle w:val="TAH"/>
              <w:rPr>
                <w:rFonts w:ascii="Times New Roman" w:hAnsi="Times New Roman"/>
                <w:sz w:val="20"/>
                <w:szCs w:val="18"/>
                <w:lang w:eastAsia="ja-JP"/>
              </w:rPr>
            </w:pPr>
            <w:r w:rsidRPr="003F72F0">
              <w:rPr>
                <w:rFonts w:ascii="Times New Roman" w:hAnsi="Times New Roman"/>
                <w:sz w:val="20"/>
                <w:szCs w:val="18"/>
                <w:lang w:eastAsia="ja-JP"/>
              </w:rPr>
              <w:t>RAN3’s work</w:t>
            </w:r>
          </w:p>
        </w:tc>
      </w:tr>
      <w:tr w:rsidR="003F72F0" w:rsidRPr="00700394" w14:paraId="1D69C596" w14:textId="77777777" w:rsidTr="003F72F0">
        <w:trPr>
          <w:trHeight w:val="1772"/>
        </w:trPr>
        <w:tc>
          <w:tcPr>
            <w:tcW w:w="1838" w:type="dxa"/>
            <w:tcBorders>
              <w:top w:val="single" w:sz="4" w:space="0" w:color="auto"/>
              <w:left w:val="single" w:sz="4" w:space="0" w:color="auto"/>
              <w:bottom w:val="single" w:sz="4" w:space="0" w:color="auto"/>
              <w:right w:val="single" w:sz="4" w:space="0" w:color="auto"/>
            </w:tcBorders>
            <w:hideMark/>
          </w:tcPr>
          <w:p w14:paraId="508EFE44" w14:textId="62AFA662" w:rsidR="003F72F0" w:rsidRPr="00700394" w:rsidRDefault="003F72F0" w:rsidP="00506B54">
            <w:pPr>
              <w:pStyle w:val="TAL"/>
              <w:rPr>
                <w:rFonts w:ascii="Times New Roman" w:hAnsi="Times New Roman"/>
                <w:bCs/>
                <w:iCs/>
                <w:szCs w:val="18"/>
                <w:lang w:eastAsia="ja-JP"/>
              </w:rPr>
            </w:pPr>
            <w:r w:rsidRPr="003F72F0">
              <w:rPr>
                <w:rFonts w:ascii="Times New Roman" w:hAnsi="Times New Roman"/>
                <w:szCs w:val="18"/>
                <w:lang w:eastAsia="ko-KR"/>
              </w:rPr>
              <w:t>Key Issue #4: Support of roaming of mobile base station relays</w:t>
            </w:r>
          </w:p>
        </w:tc>
        <w:tc>
          <w:tcPr>
            <w:tcW w:w="5228" w:type="dxa"/>
            <w:tcBorders>
              <w:top w:val="single" w:sz="4" w:space="0" w:color="auto"/>
              <w:left w:val="single" w:sz="4" w:space="0" w:color="auto"/>
              <w:bottom w:val="single" w:sz="4" w:space="0" w:color="auto"/>
              <w:right w:val="single" w:sz="4" w:space="0" w:color="auto"/>
            </w:tcBorders>
            <w:hideMark/>
          </w:tcPr>
          <w:p w14:paraId="33999214" w14:textId="180CCFF5" w:rsidR="003F72F0" w:rsidRPr="003F72F0" w:rsidRDefault="003F72F0" w:rsidP="009F2175">
            <w:pPr>
              <w:pStyle w:val="B1"/>
              <w:ind w:left="284" w:firstLine="0"/>
              <w:rPr>
                <w:sz w:val="18"/>
                <w:szCs w:val="18"/>
              </w:rPr>
            </w:pPr>
            <w:r w:rsidRPr="003F72F0">
              <w:rPr>
                <w:sz w:val="18"/>
                <w:szCs w:val="18"/>
              </w:rPr>
              <w:t>AMF provided MBSR authorized indication to NG-RAN during UE Context setup/modification procedure based on MBSR subscription data.</w:t>
            </w:r>
          </w:p>
          <w:p w14:paraId="2585DDC9" w14:textId="77777777" w:rsidR="003F72F0" w:rsidRPr="003F72F0" w:rsidRDefault="003F72F0" w:rsidP="003F72F0">
            <w:pPr>
              <w:pStyle w:val="B1"/>
              <w:rPr>
                <w:sz w:val="18"/>
                <w:szCs w:val="18"/>
              </w:rPr>
            </w:pPr>
            <w:r w:rsidRPr="003F72F0">
              <w:rPr>
                <w:sz w:val="18"/>
                <w:szCs w:val="18"/>
                <w:highlight w:val="yellow"/>
              </w:rPr>
              <w:t>NOTE 1:</w:t>
            </w:r>
            <w:r w:rsidRPr="003F72F0">
              <w:rPr>
                <w:sz w:val="18"/>
                <w:szCs w:val="18"/>
                <w:highlight w:val="yellow"/>
              </w:rPr>
              <w:tab/>
              <w:t>Whether existing IAB-Operation allowed indication and IAB authorized indication can be reused for MBSR will be determined in normative phase.</w:t>
            </w:r>
          </w:p>
          <w:p w14:paraId="344E84BB" w14:textId="1D0602F3" w:rsidR="003F72F0" w:rsidRPr="003F72F0" w:rsidRDefault="003F72F0" w:rsidP="009F2175">
            <w:pPr>
              <w:pStyle w:val="B1"/>
              <w:ind w:left="284" w:firstLine="0"/>
              <w:rPr>
                <w:sz w:val="18"/>
                <w:szCs w:val="18"/>
              </w:rPr>
            </w:pPr>
            <w:r w:rsidRPr="003F72F0">
              <w:rPr>
                <w:sz w:val="18"/>
                <w:szCs w:val="18"/>
              </w:rPr>
              <w:t>If the MBSR (IAB-UE) performs initial registration with the PLMN, the AMF accepts it based on MBSR subscription information, and provides MBSR authorization indication to donor-</w:t>
            </w:r>
            <w:proofErr w:type="spellStart"/>
            <w:r w:rsidRPr="003F72F0">
              <w:rPr>
                <w:sz w:val="18"/>
                <w:szCs w:val="18"/>
              </w:rPr>
              <w:t>gNB</w:t>
            </w:r>
            <w:proofErr w:type="spellEnd"/>
            <w:r w:rsidRPr="003F72F0">
              <w:rPr>
                <w:sz w:val="18"/>
                <w:szCs w:val="18"/>
              </w:rPr>
              <w:t>. The MBSR establishes the connection to OAM using the configuration information for MBSR operation.</w:t>
            </w:r>
          </w:p>
          <w:p w14:paraId="4C86E83F" w14:textId="7AD93941" w:rsidR="003F72F0" w:rsidRPr="00700394" w:rsidRDefault="003F72F0" w:rsidP="003F72F0">
            <w:pPr>
              <w:pStyle w:val="B1"/>
              <w:rPr>
                <w:sz w:val="18"/>
                <w:szCs w:val="18"/>
              </w:rPr>
            </w:pPr>
            <w:r w:rsidRPr="003F72F0">
              <w:rPr>
                <w:sz w:val="18"/>
                <w:szCs w:val="18"/>
                <w:highlight w:val="yellow"/>
              </w:rPr>
              <w:t>NOTE 3:</w:t>
            </w:r>
            <w:r w:rsidRPr="003F72F0">
              <w:rPr>
                <w:sz w:val="18"/>
                <w:szCs w:val="18"/>
                <w:highlight w:val="yellow"/>
              </w:rPr>
              <w:tab/>
              <w:t>How the MBSR obtains configuration information for MBSR operation is part of KI#1.</w:t>
            </w:r>
          </w:p>
        </w:tc>
        <w:tc>
          <w:tcPr>
            <w:tcW w:w="2235" w:type="dxa"/>
            <w:tcBorders>
              <w:top w:val="single" w:sz="4" w:space="0" w:color="auto"/>
              <w:left w:val="single" w:sz="4" w:space="0" w:color="auto"/>
              <w:bottom w:val="single" w:sz="4" w:space="0" w:color="auto"/>
              <w:right w:val="single" w:sz="4" w:space="0" w:color="auto"/>
            </w:tcBorders>
            <w:hideMark/>
          </w:tcPr>
          <w:p w14:paraId="7DFC7338" w14:textId="39FBB317" w:rsidR="003F72F0" w:rsidRDefault="00BA57EA" w:rsidP="00506B54">
            <w:pPr>
              <w:pStyle w:val="TAL"/>
              <w:rPr>
                <w:rFonts w:ascii="Times New Roman" w:hAnsi="Times New Roman"/>
                <w:szCs w:val="18"/>
                <w:lang w:eastAsia="ja-JP"/>
              </w:rPr>
            </w:pPr>
            <w:r>
              <w:rPr>
                <w:rFonts w:ascii="Times New Roman" w:hAnsi="Times New Roman"/>
                <w:szCs w:val="18"/>
                <w:lang w:eastAsia="ja-JP"/>
              </w:rPr>
              <w:t xml:space="preserve">One point may have RAN3 impact, which is related to </w:t>
            </w:r>
            <w:r w:rsidR="003F72F0">
              <w:rPr>
                <w:rFonts w:ascii="Times New Roman" w:hAnsi="Times New Roman"/>
                <w:szCs w:val="18"/>
                <w:lang w:eastAsia="ja-JP"/>
              </w:rPr>
              <w:t>KI#1</w:t>
            </w:r>
          </w:p>
          <w:p w14:paraId="08124723" w14:textId="403FABA8" w:rsidR="009F2175" w:rsidRDefault="009F2175" w:rsidP="00506B54">
            <w:pPr>
              <w:pStyle w:val="TAL"/>
              <w:rPr>
                <w:rFonts w:ascii="Times New Roman" w:hAnsi="Times New Roman"/>
                <w:szCs w:val="18"/>
                <w:lang w:eastAsia="ja-JP"/>
              </w:rPr>
            </w:pPr>
          </w:p>
          <w:p w14:paraId="65A930BC" w14:textId="26BF7AEF" w:rsidR="009F2175" w:rsidRDefault="009F2175" w:rsidP="00506B54">
            <w:pPr>
              <w:pStyle w:val="TAL"/>
              <w:rPr>
                <w:rFonts w:ascii="Times New Roman" w:hAnsi="Times New Roman"/>
                <w:szCs w:val="18"/>
                <w:lang w:eastAsia="ja-JP"/>
              </w:rPr>
            </w:pPr>
          </w:p>
          <w:p w14:paraId="1ADBE61D" w14:textId="01179E5C" w:rsidR="009F2175" w:rsidRDefault="009F2175" w:rsidP="00506B54">
            <w:pPr>
              <w:pStyle w:val="TAL"/>
              <w:rPr>
                <w:rFonts w:ascii="Times New Roman" w:hAnsi="Times New Roman"/>
                <w:szCs w:val="18"/>
                <w:lang w:eastAsia="ja-JP"/>
              </w:rPr>
            </w:pPr>
          </w:p>
          <w:p w14:paraId="0222EF44" w14:textId="1141ADE4" w:rsidR="009F2175" w:rsidRDefault="009F2175" w:rsidP="00506B54">
            <w:pPr>
              <w:pStyle w:val="TAL"/>
              <w:rPr>
                <w:rFonts w:ascii="Times New Roman" w:hAnsi="Times New Roman"/>
                <w:szCs w:val="18"/>
                <w:lang w:eastAsia="ja-JP"/>
              </w:rPr>
            </w:pPr>
          </w:p>
          <w:p w14:paraId="1FB8CCEC" w14:textId="0F9A30B3" w:rsidR="009F2175" w:rsidRDefault="009F2175" w:rsidP="00506B54">
            <w:pPr>
              <w:pStyle w:val="TAL"/>
              <w:rPr>
                <w:rFonts w:ascii="Times New Roman" w:hAnsi="Times New Roman"/>
                <w:szCs w:val="18"/>
                <w:lang w:eastAsia="ja-JP"/>
              </w:rPr>
            </w:pPr>
          </w:p>
          <w:p w14:paraId="294AEC47" w14:textId="3A572630" w:rsidR="009F2175" w:rsidRDefault="009F2175" w:rsidP="00506B54">
            <w:pPr>
              <w:pStyle w:val="TAL"/>
              <w:rPr>
                <w:rFonts w:ascii="Times New Roman" w:hAnsi="Times New Roman"/>
                <w:szCs w:val="18"/>
                <w:lang w:eastAsia="ja-JP"/>
              </w:rPr>
            </w:pPr>
          </w:p>
          <w:p w14:paraId="3C60DF16" w14:textId="6B5B107A" w:rsidR="009F2175" w:rsidRDefault="009F2175" w:rsidP="00506B54">
            <w:pPr>
              <w:pStyle w:val="TAL"/>
              <w:rPr>
                <w:rFonts w:ascii="Times New Roman" w:hAnsi="Times New Roman"/>
                <w:szCs w:val="18"/>
                <w:lang w:eastAsia="ja-JP"/>
              </w:rPr>
            </w:pPr>
          </w:p>
          <w:p w14:paraId="1F940F15" w14:textId="0E136EBA" w:rsidR="009F2175" w:rsidRDefault="009F2175" w:rsidP="00506B54">
            <w:pPr>
              <w:pStyle w:val="TAL"/>
              <w:rPr>
                <w:rFonts w:ascii="Times New Roman" w:hAnsi="Times New Roman"/>
                <w:szCs w:val="18"/>
                <w:lang w:eastAsia="ja-JP"/>
              </w:rPr>
            </w:pPr>
          </w:p>
          <w:p w14:paraId="1A8B7DBC" w14:textId="7463568E" w:rsidR="009F2175" w:rsidRDefault="009F2175" w:rsidP="00506B54">
            <w:pPr>
              <w:pStyle w:val="TAL"/>
              <w:rPr>
                <w:rFonts w:ascii="Times New Roman" w:hAnsi="Times New Roman"/>
                <w:szCs w:val="18"/>
                <w:lang w:eastAsia="ja-JP"/>
              </w:rPr>
            </w:pPr>
          </w:p>
          <w:p w14:paraId="21FC8DCF" w14:textId="70D8FA5D" w:rsidR="009F2175" w:rsidRDefault="009F2175" w:rsidP="00506B54">
            <w:pPr>
              <w:pStyle w:val="TAL"/>
              <w:rPr>
                <w:rFonts w:ascii="Times New Roman" w:hAnsi="Times New Roman"/>
                <w:szCs w:val="18"/>
                <w:lang w:eastAsia="ja-JP"/>
              </w:rPr>
            </w:pPr>
          </w:p>
          <w:p w14:paraId="4F09BC84" w14:textId="4392022C" w:rsidR="009F2175" w:rsidRDefault="009F2175" w:rsidP="00506B54">
            <w:pPr>
              <w:pStyle w:val="TAL"/>
              <w:rPr>
                <w:rFonts w:ascii="Times New Roman" w:hAnsi="Times New Roman"/>
                <w:szCs w:val="18"/>
                <w:lang w:eastAsia="ja-JP"/>
              </w:rPr>
            </w:pPr>
          </w:p>
          <w:p w14:paraId="536A333E" w14:textId="77777777" w:rsidR="009F2175" w:rsidRDefault="009F2175" w:rsidP="00506B54">
            <w:pPr>
              <w:pStyle w:val="TAL"/>
              <w:rPr>
                <w:rFonts w:ascii="Times New Roman" w:hAnsi="Times New Roman"/>
                <w:szCs w:val="18"/>
                <w:lang w:eastAsia="ja-JP"/>
              </w:rPr>
            </w:pPr>
          </w:p>
          <w:p w14:paraId="4D35A0E1" w14:textId="0D3DB9DA" w:rsidR="009F2175" w:rsidRPr="00700394" w:rsidRDefault="009F2175" w:rsidP="00506B54">
            <w:pPr>
              <w:pStyle w:val="TAL"/>
              <w:rPr>
                <w:rFonts w:ascii="Times New Roman" w:hAnsi="Times New Roman"/>
                <w:szCs w:val="18"/>
                <w:lang w:eastAsia="ja-JP"/>
              </w:rPr>
            </w:pPr>
          </w:p>
        </w:tc>
      </w:tr>
    </w:tbl>
    <w:p w14:paraId="753F3069" w14:textId="3A93C831" w:rsidR="00F36105" w:rsidRDefault="00F36105" w:rsidP="005224DE">
      <w:pPr>
        <w:pStyle w:val="B1"/>
        <w:ind w:left="0" w:firstLine="0"/>
      </w:pPr>
    </w:p>
    <w:p w14:paraId="5273C4CF" w14:textId="08952B5D" w:rsidR="00F36105" w:rsidRPr="00BA57EA" w:rsidRDefault="00BA57EA" w:rsidP="005224DE">
      <w:pPr>
        <w:pStyle w:val="B1"/>
        <w:ind w:left="0" w:firstLine="0"/>
        <w:rPr>
          <w:b/>
          <w:sz w:val="22"/>
        </w:rPr>
      </w:pPr>
      <w:r w:rsidRPr="00BA57EA">
        <w:rPr>
          <w:b/>
          <w:sz w:val="22"/>
        </w:rPr>
        <w:t>Observation</w:t>
      </w:r>
      <w:r w:rsidR="00CB7416">
        <w:rPr>
          <w:b/>
          <w:sz w:val="22"/>
        </w:rPr>
        <w:t xml:space="preserve"> 3</w:t>
      </w:r>
      <w:r w:rsidRPr="00BA57EA">
        <w:rPr>
          <w:b/>
          <w:sz w:val="22"/>
        </w:rPr>
        <w:t>, one point about additional configuration in KI#4 has relation to KI#1, others have no RAN3 impact.</w:t>
      </w:r>
    </w:p>
    <w:p w14:paraId="0FD5527C" w14:textId="3763CE06" w:rsidR="00A31288" w:rsidRPr="00BA57EA" w:rsidRDefault="005224DE" w:rsidP="005224DE">
      <w:pPr>
        <w:pStyle w:val="B1"/>
        <w:ind w:left="0" w:firstLine="0"/>
        <w:rPr>
          <w:b/>
          <w:sz w:val="22"/>
        </w:rPr>
      </w:pPr>
      <w:r w:rsidRPr="00BA57EA">
        <w:rPr>
          <w:b/>
          <w:sz w:val="22"/>
        </w:rPr>
        <w:t xml:space="preserve">Proposal </w:t>
      </w:r>
      <w:r w:rsidR="00CB7416">
        <w:rPr>
          <w:b/>
          <w:sz w:val="22"/>
        </w:rPr>
        <w:t>3</w:t>
      </w:r>
      <w:r w:rsidRPr="00BA57EA">
        <w:rPr>
          <w:b/>
          <w:sz w:val="22"/>
        </w:rPr>
        <w:t xml:space="preserve">, </w:t>
      </w:r>
      <w:r w:rsidR="00BA57EA" w:rsidRPr="00700394">
        <w:rPr>
          <w:b/>
          <w:sz w:val="22"/>
        </w:rPr>
        <w:t xml:space="preserve">RAN3 answers to SA2 that </w:t>
      </w:r>
      <w:r w:rsidR="00BA57EA">
        <w:rPr>
          <w:b/>
          <w:sz w:val="22"/>
        </w:rPr>
        <w:t>RAN3 acknowledge SA2’s conclusion and will notify SA2 if full migration specification work completes.</w:t>
      </w:r>
    </w:p>
    <w:p w14:paraId="16E1031F" w14:textId="4FAB657D" w:rsidR="00A31288" w:rsidRDefault="00A31288" w:rsidP="00A31288">
      <w:pPr>
        <w:pStyle w:val="2"/>
      </w:pPr>
      <w:r>
        <w:lastRenderedPageBreak/>
        <w:t>2.</w:t>
      </w:r>
      <w:r w:rsidR="0011641F">
        <w:t>4</w:t>
      </w:r>
      <w:r>
        <w:tab/>
      </w:r>
      <w:r w:rsidR="00F06E56" w:rsidRPr="00F06E56">
        <w:t>For point#6 (regarding KI#5)</w:t>
      </w:r>
    </w:p>
    <w:p w14:paraId="323AD32A" w14:textId="724A86F8" w:rsidR="00E71097" w:rsidRDefault="005845B8" w:rsidP="00F06E56">
      <w:pPr>
        <w:pStyle w:val="B1"/>
        <w:rPr>
          <w:i/>
          <w:color w:val="0000FF"/>
          <w:highlight w:val="yellow"/>
        </w:rPr>
      </w:pPr>
      <w:r>
        <w:t>-</w:t>
      </w:r>
      <w:r>
        <w:tab/>
      </w:r>
      <w:r w:rsidR="00F06E56" w:rsidRPr="00BA57EA">
        <w:rPr>
          <w:i/>
          <w:color w:val="0000FF"/>
        </w:rPr>
        <w:t xml:space="preserve">For point#6 (regarding KI#5), based on the SA2 study, </w:t>
      </w:r>
      <w:proofErr w:type="spellStart"/>
      <w:r w:rsidR="00F06E56" w:rsidRPr="00BA57EA">
        <w:rPr>
          <w:i/>
          <w:color w:val="0000FF"/>
        </w:rPr>
        <w:t>NRPPa</w:t>
      </w:r>
      <w:proofErr w:type="spellEnd"/>
      <w:r w:rsidR="00F06E56" w:rsidRPr="00BA57EA">
        <w:rPr>
          <w:i/>
          <w:color w:val="0000FF"/>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00F06E56" w:rsidRPr="00BA57EA">
        <w:rPr>
          <w:i/>
          <w:color w:val="0000FF"/>
        </w:rPr>
        <w:t>NRPPa</w:t>
      </w:r>
      <w:proofErr w:type="spellEnd"/>
      <w:r w:rsidR="00F06E56" w:rsidRPr="00BA57EA">
        <w:rPr>
          <w:i/>
          <w:color w:val="0000FF"/>
        </w:rPr>
        <w:t xml:space="preserve"> from the donor </w:t>
      </w:r>
      <w:proofErr w:type="spellStart"/>
      <w:r w:rsidR="00F06E56" w:rsidRPr="00BA57EA">
        <w:rPr>
          <w:i/>
          <w:color w:val="0000FF"/>
        </w:rPr>
        <w:t>gNB</w:t>
      </w:r>
      <w:proofErr w:type="spellEnd"/>
      <w:r w:rsidR="00F06E56" w:rsidRPr="00BA57EA">
        <w:rPr>
          <w:i/>
          <w:color w:val="0000FF"/>
        </w:rPr>
        <w:t xml:space="preserve">. SA2 would like to ask RAN3 to consider </w:t>
      </w:r>
      <w:r w:rsidR="00F06E56" w:rsidRPr="00BA57EA">
        <w:rPr>
          <w:i/>
          <w:color w:val="0000FF"/>
          <w:highlight w:val="yellow"/>
        </w:rPr>
        <w:t>supporting such solution within Rel-18 timeframe.</w:t>
      </w:r>
    </w:p>
    <w:p w14:paraId="3028C6C4" w14:textId="044A3170" w:rsidR="009F2175" w:rsidRDefault="009F2175" w:rsidP="009F2175">
      <w:pPr>
        <w:pStyle w:val="B1"/>
        <w:ind w:left="0" w:firstLine="0"/>
        <w:rPr>
          <w:sz w:val="22"/>
        </w:rPr>
      </w:pPr>
      <w:r w:rsidRPr="009F2175">
        <w:rPr>
          <w:sz w:val="22"/>
        </w:rPr>
        <w:t xml:space="preserve">For KI#5, </w:t>
      </w:r>
      <w:r w:rsidR="00A556F2">
        <w:rPr>
          <w:sz w:val="22"/>
        </w:rPr>
        <w:t xml:space="preserve">SA2 decide to enhance </w:t>
      </w:r>
      <w:proofErr w:type="spellStart"/>
      <w:r w:rsidR="00A556F2">
        <w:rPr>
          <w:sz w:val="22"/>
        </w:rPr>
        <w:t>NRPPa</w:t>
      </w:r>
      <w:proofErr w:type="spellEnd"/>
      <w:r w:rsidR="00A556F2">
        <w:rPr>
          <w:sz w:val="22"/>
        </w:rPr>
        <w:t xml:space="preserve"> to support the </w:t>
      </w:r>
      <w:r w:rsidR="000A111E">
        <w:rPr>
          <w:sz w:val="22"/>
        </w:rPr>
        <w:t xml:space="preserve">location service of UE who access via mobile IAB. According to SA2’s conclusion, </w:t>
      </w:r>
      <w:r w:rsidR="00A2521A">
        <w:rPr>
          <w:sz w:val="22"/>
        </w:rPr>
        <w:t>i.e.</w:t>
      </w:r>
      <w:r w:rsidR="000A111E">
        <w:rPr>
          <w:sz w:val="22"/>
        </w:rPr>
        <w:t xml:space="preserve"> “</w:t>
      </w:r>
      <w:r w:rsidR="000A111E" w:rsidRPr="00A2521A">
        <w:rPr>
          <w:i/>
          <w:sz w:val="22"/>
        </w:rPr>
        <w:t>The AMF serving the UE provides the cell-ID of the cell that the Target UE is connected to the LMF in the location request (legacy behaviour) and indicates if possible that the cell-ID belongs to a MBSR</w:t>
      </w:r>
      <w:r w:rsidR="0042640A" w:rsidRPr="00A2521A">
        <w:rPr>
          <w:i/>
          <w:sz w:val="22"/>
        </w:rPr>
        <w:t>. The AMF serving UE also provides LMF with the IAB-UE ID of the MBSR so that the LMF initiates the positioning procedure for MBSR. The AMF serving UE obtains the IAB-UE ID of the MBSR</w:t>
      </w:r>
      <w:r w:rsidR="000A111E">
        <w:rPr>
          <w:sz w:val="22"/>
        </w:rPr>
        <w:t xml:space="preserve">”, </w:t>
      </w:r>
      <w:r w:rsidR="009213A0">
        <w:rPr>
          <w:sz w:val="22"/>
        </w:rPr>
        <w:t>we think</w:t>
      </w:r>
      <w:r w:rsidR="0042640A">
        <w:rPr>
          <w:sz w:val="22"/>
        </w:rPr>
        <w:t xml:space="preserve"> IAB-donor-CU of the IAB-DU needs to provide the mapping relation between the cell identify </w:t>
      </w:r>
      <w:r w:rsidR="00A2521A">
        <w:rPr>
          <w:sz w:val="22"/>
        </w:rPr>
        <w:t>and</w:t>
      </w:r>
      <w:r w:rsidR="0042640A">
        <w:rPr>
          <w:sz w:val="22"/>
        </w:rPr>
        <w:t xml:space="preserve"> IAB-UE ID to the AMF serving the UE, RAN3 needs to further discuss how to realize it considering different scenarios of migration.</w:t>
      </w:r>
    </w:p>
    <w:p w14:paraId="22BF6F44" w14:textId="2CC1B3E8" w:rsidR="0042640A" w:rsidRDefault="0042640A" w:rsidP="009F2175">
      <w:pPr>
        <w:pStyle w:val="B1"/>
        <w:ind w:left="0" w:firstLine="0"/>
        <w:rPr>
          <w:sz w:val="22"/>
        </w:rPr>
      </w:pPr>
      <w:r>
        <w:rPr>
          <w:sz w:val="22"/>
        </w:rPr>
        <w:t xml:space="preserve">Regarding the IAB-UE ID, SA2 agreed to introduce GPSI as IAB-UE ID, after checking with SA3 </w:t>
      </w:r>
      <w:r w:rsidR="00A2521A" w:rsidRPr="00A2521A">
        <w:rPr>
          <w:sz w:val="22"/>
        </w:rPr>
        <w:t>colleague</w:t>
      </w:r>
      <w:r w:rsidR="00A2521A">
        <w:rPr>
          <w:sz w:val="22"/>
        </w:rPr>
        <w:t>s</w:t>
      </w:r>
      <w:r w:rsidR="00A2521A" w:rsidRPr="00A2521A">
        <w:rPr>
          <w:sz w:val="22"/>
        </w:rPr>
        <w:t xml:space="preserve"> </w:t>
      </w:r>
      <w:r>
        <w:rPr>
          <w:sz w:val="22"/>
        </w:rPr>
        <w:t xml:space="preserve">internally, we find that exchange GPSI over NGAP has no privacy issue since </w:t>
      </w:r>
      <w:r w:rsidRPr="0042640A">
        <w:rPr>
          <w:sz w:val="22"/>
        </w:rPr>
        <w:t>GPSIs are public identifiers used both inside and outside of the 3GPP system</w:t>
      </w:r>
      <w:r>
        <w:rPr>
          <w:sz w:val="22"/>
        </w:rPr>
        <w:t xml:space="preserve"> according to the definition in TS 23.501</w:t>
      </w:r>
      <w:r w:rsidRPr="0042640A">
        <w:rPr>
          <w:sz w:val="22"/>
        </w:rPr>
        <w:t>.</w:t>
      </w:r>
    </w:p>
    <w:p w14:paraId="13F9F1EB" w14:textId="24920A59" w:rsidR="0042640A" w:rsidRDefault="0042640A" w:rsidP="009F2175">
      <w:pPr>
        <w:pStyle w:val="B1"/>
        <w:ind w:left="0" w:firstLine="0"/>
        <w:rPr>
          <w:sz w:val="22"/>
        </w:rPr>
      </w:pPr>
      <w:r>
        <w:rPr>
          <w:sz w:val="22"/>
        </w:rPr>
        <w:t>Another issue may</w:t>
      </w:r>
      <w:r w:rsidR="00A2521A">
        <w:rPr>
          <w:sz w:val="22"/>
        </w:rPr>
        <w:t xml:space="preserve"> not </w:t>
      </w:r>
      <w:r>
        <w:rPr>
          <w:sz w:val="22"/>
        </w:rPr>
        <w:t xml:space="preserve">be </w:t>
      </w:r>
      <w:r w:rsidR="00A2521A">
        <w:rPr>
          <w:sz w:val="22"/>
        </w:rPr>
        <w:t>mentioned</w:t>
      </w:r>
      <w:r>
        <w:rPr>
          <w:sz w:val="22"/>
        </w:rPr>
        <w:t xml:space="preserve"> by SA2 is that the cell identity </w:t>
      </w:r>
      <w:r w:rsidR="00A2521A">
        <w:rPr>
          <w:sz w:val="22"/>
        </w:rPr>
        <w:t xml:space="preserve">(including PCI and CGI) </w:t>
      </w:r>
      <w:r>
        <w:rPr>
          <w:sz w:val="22"/>
        </w:rPr>
        <w:t>may change frequent</w:t>
      </w:r>
      <w:r w:rsidR="009213A0">
        <w:rPr>
          <w:sz w:val="22"/>
        </w:rPr>
        <w:t>ly</w:t>
      </w:r>
      <w:r>
        <w:rPr>
          <w:sz w:val="22"/>
        </w:rPr>
        <w:t xml:space="preserve"> with the movement of the mobile IAB-node as it</w:t>
      </w:r>
      <w:r w:rsidR="009213A0">
        <w:rPr>
          <w:sz w:val="22"/>
        </w:rPr>
        <w:t>s serving</w:t>
      </w:r>
      <w:r>
        <w:rPr>
          <w:sz w:val="22"/>
        </w:rPr>
        <w:t xml:space="preserve"> IAB-donor may be changed.</w:t>
      </w:r>
      <w:r w:rsidR="00A2521A">
        <w:rPr>
          <w:sz w:val="22"/>
        </w:rPr>
        <w:t xml:space="preserve"> If RAN3 decides to support the location service enhancement, this should be considered, i.e. RAN3 needs to discuss how to update the mapping relation.</w:t>
      </w:r>
    </w:p>
    <w:p w14:paraId="11A3AB49" w14:textId="31A2E8FF" w:rsidR="00A2521A" w:rsidRPr="009F2175" w:rsidRDefault="00A2521A" w:rsidP="009F2175">
      <w:pPr>
        <w:pStyle w:val="B1"/>
        <w:ind w:left="0" w:firstLine="0"/>
        <w:rPr>
          <w:sz w:val="22"/>
        </w:rPr>
      </w:pPr>
      <w:r>
        <w:rPr>
          <w:sz w:val="22"/>
        </w:rPr>
        <w:t>And below is the summary for KI#5</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228"/>
        <w:gridCol w:w="2235"/>
      </w:tblGrid>
      <w:tr w:rsidR="00BA57EA" w:rsidRPr="003F72F0" w14:paraId="01CA9143" w14:textId="77777777" w:rsidTr="00506B54">
        <w:trPr>
          <w:trHeight w:val="261"/>
        </w:trPr>
        <w:tc>
          <w:tcPr>
            <w:tcW w:w="1838" w:type="dxa"/>
            <w:tcBorders>
              <w:top w:val="single" w:sz="4" w:space="0" w:color="auto"/>
              <w:left w:val="single" w:sz="4" w:space="0" w:color="auto"/>
              <w:bottom w:val="single" w:sz="4" w:space="0" w:color="auto"/>
              <w:right w:val="single" w:sz="4" w:space="0" w:color="auto"/>
            </w:tcBorders>
            <w:vAlign w:val="center"/>
            <w:hideMark/>
          </w:tcPr>
          <w:p w14:paraId="32294C5C" w14:textId="77777777" w:rsidR="00BA57EA" w:rsidRPr="003F72F0" w:rsidRDefault="00BA57EA" w:rsidP="00506B54">
            <w:pPr>
              <w:pStyle w:val="TAH"/>
              <w:rPr>
                <w:rFonts w:ascii="Times New Roman" w:hAnsi="Times New Roman"/>
                <w:sz w:val="20"/>
                <w:szCs w:val="18"/>
                <w:lang w:eastAsia="ja-JP"/>
              </w:rPr>
            </w:pPr>
            <w:r w:rsidRPr="003F72F0">
              <w:rPr>
                <w:rFonts w:ascii="Times New Roman" w:hAnsi="Times New Roman"/>
                <w:sz w:val="20"/>
                <w:szCs w:val="18"/>
                <w:lang w:eastAsia="ja-JP"/>
              </w:rPr>
              <w:lastRenderedPageBreak/>
              <w:t>SA2’s KI</w:t>
            </w:r>
          </w:p>
        </w:tc>
        <w:tc>
          <w:tcPr>
            <w:tcW w:w="5228" w:type="dxa"/>
            <w:tcBorders>
              <w:top w:val="single" w:sz="4" w:space="0" w:color="auto"/>
              <w:left w:val="single" w:sz="4" w:space="0" w:color="auto"/>
              <w:bottom w:val="single" w:sz="4" w:space="0" w:color="auto"/>
              <w:right w:val="single" w:sz="4" w:space="0" w:color="auto"/>
            </w:tcBorders>
            <w:vAlign w:val="center"/>
            <w:hideMark/>
          </w:tcPr>
          <w:p w14:paraId="756335D1" w14:textId="77777777" w:rsidR="00BA57EA" w:rsidRPr="003F72F0" w:rsidRDefault="00BA57EA" w:rsidP="00506B54">
            <w:pPr>
              <w:pStyle w:val="TAH"/>
              <w:rPr>
                <w:rFonts w:ascii="Times New Roman" w:hAnsi="Times New Roman"/>
                <w:sz w:val="20"/>
                <w:szCs w:val="18"/>
                <w:lang w:eastAsia="ja-JP"/>
              </w:rPr>
            </w:pPr>
            <w:r w:rsidRPr="003F72F0">
              <w:rPr>
                <w:rFonts w:ascii="Times New Roman" w:hAnsi="Times New Roman"/>
                <w:sz w:val="20"/>
                <w:szCs w:val="18"/>
                <w:lang w:eastAsia="ja-JP"/>
              </w:rPr>
              <w:t>SA2 conclusion related to RAN</w:t>
            </w:r>
          </w:p>
        </w:tc>
        <w:tc>
          <w:tcPr>
            <w:tcW w:w="2235" w:type="dxa"/>
            <w:tcBorders>
              <w:top w:val="single" w:sz="4" w:space="0" w:color="auto"/>
              <w:left w:val="single" w:sz="4" w:space="0" w:color="auto"/>
              <w:bottom w:val="single" w:sz="4" w:space="0" w:color="auto"/>
              <w:right w:val="single" w:sz="4" w:space="0" w:color="auto"/>
            </w:tcBorders>
            <w:vAlign w:val="center"/>
            <w:hideMark/>
          </w:tcPr>
          <w:p w14:paraId="7A148F4E" w14:textId="77777777" w:rsidR="00BA57EA" w:rsidRPr="003F72F0" w:rsidRDefault="00BA57EA" w:rsidP="00506B54">
            <w:pPr>
              <w:pStyle w:val="TAH"/>
              <w:rPr>
                <w:rFonts w:ascii="Times New Roman" w:hAnsi="Times New Roman"/>
                <w:sz w:val="20"/>
                <w:szCs w:val="18"/>
                <w:lang w:eastAsia="ja-JP"/>
              </w:rPr>
            </w:pPr>
            <w:r w:rsidRPr="003F72F0">
              <w:rPr>
                <w:rFonts w:ascii="Times New Roman" w:hAnsi="Times New Roman"/>
                <w:sz w:val="20"/>
                <w:szCs w:val="18"/>
                <w:lang w:eastAsia="ja-JP"/>
              </w:rPr>
              <w:t>RAN3’s work</w:t>
            </w:r>
          </w:p>
        </w:tc>
      </w:tr>
      <w:tr w:rsidR="00BA57EA" w:rsidRPr="00700394" w14:paraId="4A1322AB" w14:textId="77777777" w:rsidTr="00506B54">
        <w:trPr>
          <w:trHeight w:val="1772"/>
        </w:trPr>
        <w:tc>
          <w:tcPr>
            <w:tcW w:w="1838" w:type="dxa"/>
            <w:tcBorders>
              <w:top w:val="single" w:sz="4" w:space="0" w:color="auto"/>
              <w:left w:val="single" w:sz="4" w:space="0" w:color="auto"/>
              <w:bottom w:val="single" w:sz="4" w:space="0" w:color="auto"/>
              <w:right w:val="single" w:sz="4" w:space="0" w:color="auto"/>
            </w:tcBorders>
            <w:hideMark/>
          </w:tcPr>
          <w:p w14:paraId="5333566F" w14:textId="1A251F43" w:rsidR="00BA57EA" w:rsidRPr="0042640A" w:rsidRDefault="00BA57EA" w:rsidP="00506B54">
            <w:pPr>
              <w:pStyle w:val="TAL"/>
              <w:rPr>
                <w:rFonts w:ascii="Times New Roman" w:hAnsi="Times New Roman"/>
                <w:bCs/>
                <w:iCs/>
                <w:szCs w:val="18"/>
                <w:lang w:eastAsia="ja-JP"/>
              </w:rPr>
            </w:pPr>
            <w:r w:rsidRPr="0042640A">
              <w:rPr>
                <w:rFonts w:ascii="Times New Roman" w:hAnsi="Times New Roman"/>
              </w:rPr>
              <w:t>Key Issue #5: Support of location services for UEs accessing via a mobile base station relay</w:t>
            </w:r>
          </w:p>
        </w:tc>
        <w:tc>
          <w:tcPr>
            <w:tcW w:w="5228" w:type="dxa"/>
            <w:tcBorders>
              <w:top w:val="single" w:sz="4" w:space="0" w:color="auto"/>
              <w:left w:val="single" w:sz="4" w:space="0" w:color="auto"/>
              <w:bottom w:val="single" w:sz="4" w:space="0" w:color="auto"/>
              <w:right w:val="single" w:sz="4" w:space="0" w:color="auto"/>
            </w:tcBorders>
            <w:hideMark/>
          </w:tcPr>
          <w:p w14:paraId="2EE20C7E" w14:textId="5857E08A" w:rsidR="00BA57EA" w:rsidRPr="00BA57EA" w:rsidRDefault="00BA57EA" w:rsidP="009F2175">
            <w:pPr>
              <w:pStyle w:val="B1"/>
              <w:ind w:left="284" w:firstLine="0"/>
              <w:rPr>
                <w:sz w:val="18"/>
                <w:szCs w:val="18"/>
              </w:rPr>
            </w:pPr>
            <w:r w:rsidRPr="00BA57EA">
              <w:rPr>
                <w:sz w:val="18"/>
                <w:szCs w:val="18"/>
              </w:rPr>
              <w:t>The AMF serving the UE provides the cell-ID of the cell that the Target UE is connected to the LMF in the location request (legacy behaviour) and indicates if possible that the cell-ID belongs to a MBSR. The AMF serving UE also provides LMF with the IAB-UE ID of the MBSR so that the LMF initiates the positioning procedure for MBSR. The AMF serving UE obtains the IAB-UE ID of the MBSR.</w:t>
            </w:r>
          </w:p>
          <w:p w14:paraId="0CD05CCD" w14:textId="7465FD88" w:rsidR="00BA57EA" w:rsidRPr="00BA57EA" w:rsidRDefault="00BA57EA" w:rsidP="00BA57EA">
            <w:pPr>
              <w:pStyle w:val="B1"/>
              <w:rPr>
                <w:sz w:val="18"/>
                <w:szCs w:val="18"/>
                <w:highlight w:val="yellow"/>
              </w:rPr>
            </w:pPr>
            <w:r w:rsidRPr="00BA57EA">
              <w:rPr>
                <w:sz w:val="18"/>
                <w:szCs w:val="18"/>
                <w:highlight w:val="yellow"/>
              </w:rPr>
              <w:t>NOTE 1:</w:t>
            </w:r>
            <w:r w:rsidRPr="00BA57EA">
              <w:rPr>
                <w:sz w:val="18"/>
                <w:szCs w:val="18"/>
                <w:highlight w:val="yellow"/>
              </w:rPr>
              <w:tab/>
              <w:t>The details on AMF serving UE obtaining the IAB-UE ID of the MBSR will be decided during normative phase.</w:t>
            </w:r>
          </w:p>
          <w:p w14:paraId="22C8CB66" w14:textId="1975DA1E" w:rsidR="0042640A" w:rsidRDefault="0042640A" w:rsidP="00BA57EA">
            <w:pPr>
              <w:pStyle w:val="B1"/>
              <w:ind w:left="284" w:firstLine="0"/>
              <w:rPr>
                <w:sz w:val="18"/>
                <w:szCs w:val="18"/>
              </w:rPr>
            </w:pPr>
            <w:r w:rsidRPr="0042640A">
              <w:rPr>
                <w:sz w:val="18"/>
                <w:szCs w:val="18"/>
              </w:rPr>
              <w:t xml:space="preserve">-The LMF can learn that a new integrated MBSR TRP at a </w:t>
            </w:r>
            <w:proofErr w:type="spellStart"/>
            <w:r w:rsidRPr="0042640A">
              <w:rPr>
                <w:sz w:val="18"/>
                <w:szCs w:val="18"/>
              </w:rPr>
              <w:t>gNB</w:t>
            </w:r>
            <w:proofErr w:type="spellEnd"/>
            <w:r w:rsidRPr="0042640A">
              <w:rPr>
                <w:sz w:val="18"/>
                <w:szCs w:val="18"/>
              </w:rPr>
              <w:t xml:space="preserve"> is mobile and its </w:t>
            </w:r>
            <w:r w:rsidRPr="0042640A">
              <w:rPr>
                <w:sz w:val="18"/>
                <w:szCs w:val="18"/>
                <w:highlight w:val="yellow"/>
              </w:rPr>
              <w:t>MBSR IAB UE ID (GPSI)</w:t>
            </w:r>
            <w:r w:rsidRPr="0042640A">
              <w:rPr>
                <w:sz w:val="18"/>
                <w:szCs w:val="18"/>
              </w:rPr>
              <w:t xml:space="preserve"> via TRP information exchange towards the </w:t>
            </w:r>
            <w:proofErr w:type="spellStart"/>
            <w:r w:rsidRPr="0042640A">
              <w:rPr>
                <w:sz w:val="18"/>
                <w:szCs w:val="18"/>
              </w:rPr>
              <w:t>gNB</w:t>
            </w:r>
            <w:proofErr w:type="spellEnd"/>
            <w:r w:rsidRPr="0042640A">
              <w:rPr>
                <w:sz w:val="18"/>
                <w:szCs w:val="18"/>
              </w:rPr>
              <w:t xml:space="preserve"> with the cell Id of the TRP. The TRP information exchange is triggered by OAM.</w:t>
            </w:r>
          </w:p>
          <w:p w14:paraId="7AC244A8" w14:textId="77777777" w:rsidR="0042640A" w:rsidRPr="0042640A" w:rsidRDefault="0042640A" w:rsidP="0042640A">
            <w:pPr>
              <w:pStyle w:val="B1"/>
              <w:ind w:left="284"/>
              <w:rPr>
                <w:sz w:val="18"/>
                <w:szCs w:val="18"/>
              </w:rPr>
            </w:pPr>
            <w:r w:rsidRPr="0042640A">
              <w:rPr>
                <w:sz w:val="18"/>
                <w:szCs w:val="18"/>
              </w:rPr>
              <w:t>NOTE 2:</w:t>
            </w:r>
            <w:r w:rsidRPr="0042640A">
              <w:rPr>
                <w:sz w:val="18"/>
                <w:szCs w:val="18"/>
              </w:rPr>
              <w:tab/>
              <w:t xml:space="preserve">The information that will be provided from MBSR to LMF will be finally confirmed by stage 3 groups, but </w:t>
            </w:r>
            <w:r w:rsidRPr="0042640A">
              <w:rPr>
                <w:sz w:val="18"/>
                <w:szCs w:val="18"/>
                <w:highlight w:val="yellow"/>
              </w:rPr>
              <w:t>it should at least include the indication the TRP is a MBSR and the associated IAB-UE ID</w:t>
            </w:r>
            <w:r w:rsidRPr="0042640A">
              <w:rPr>
                <w:sz w:val="18"/>
                <w:szCs w:val="18"/>
              </w:rPr>
              <w:t>.</w:t>
            </w:r>
          </w:p>
          <w:p w14:paraId="593D7D40" w14:textId="09D0D878" w:rsidR="0042640A" w:rsidRDefault="0042640A" w:rsidP="0042640A">
            <w:pPr>
              <w:pStyle w:val="B1"/>
              <w:ind w:left="284" w:firstLine="0"/>
              <w:rPr>
                <w:sz w:val="18"/>
                <w:szCs w:val="18"/>
              </w:rPr>
            </w:pPr>
            <w:r w:rsidRPr="0042640A">
              <w:rPr>
                <w:sz w:val="18"/>
                <w:szCs w:val="18"/>
              </w:rPr>
              <w:t>NOTE 3:</w:t>
            </w:r>
            <w:r w:rsidRPr="0042640A">
              <w:rPr>
                <w:sz w:val="18"/>
                <w:szCs w:val="18"/>
              </w:rPr>
              <w:tab/>
              <w:t xml:space="preserve">Normative alignment may be needed on how the </w:t>
            </w:r>
            <w:r w:rsidRPr="0042640A">
              <w:rPr>
                <w:sz w:val="18"/>
                <w:szCs w:val="18"/>
                <w:highlight w:val="yellow"/>
              </w:rPr>
              <w:t>LMF can learn that a cell ID belongs to a MBSR and the associated UE-ID based on RAN agreements/development.</w:t>
            </w:r>
          </w:p>
          <w:p w14:paraId="72EB51AE" w14:textId="6A2183C3" w:rsidR="00BA57EA" w:rsidRPr="00BA57EA" w:rsidRDefault="00BA57EA" w:rsidP="00BA57EA">
            <w:pPr>
              <w:pStyle w:val="B1"/>
              <w:ind w:left="284" w:firstLine="0"/>
              <w:rPr>
                <w:sz w:val="18"/>
                <w:szCs w:val="18"/>
              </w:rPr>
            </w:pPr>
            <w:r w:rsidRPr="00BA57EA">
              <w:rPr>
                <w:sz w:val="18"/>
                <w:szCs w:val="18"/>
              </w:rPr>
              <w:t>Options for the LMF to derive the location and velocity of the MBSR are e.g.:</w:t>
            </w:r>
          </w:p>
          <w:p w14:paraId="48A9844F" w14:textId="77777777" w:rsidR="00BA57EA" w:rsidRPr="00BA57EA" w:rsidRDefault="00BA57EA" w:rsidP="00BA57EA">
            <w:pPr>
              <w:pStyle w:val="B1"/>
              <w:rPr>
                <w:sz w:val="18"/>
                <w:szCs w:val="18"/>
              </w:rPr>
            </w:pPr>
            <w:r w:rsidRPr="00BA57EA">
              <w:rPr>
                <w:sz w:val="18"/>
                <w:szCs w:val="18"/>
              </w:rPr>
              <w:t>-</w:t>
            </w:r>
            <w:r w:rsidRPr="00BA57EA">
              <w:rPr>
                <w:sz w:val="18"/>
                <w:szCs w:val="18"/>
              </w:rPr>
              <w:tab/>
              <w:t>The LMF can derive the location of the MBSR by requesting the GMLC to derive the location of the MBSR (UE).</w:t>
            </w:r>
          </w:p>
          <w:p w14:paraId="2A45AD88" w14:textId="77777777" w:rsidR="00BA57EA" w:rsidRPr="00BA57EA" w:rsidRDefault="00BA57EA" w:rsidP="00BA57EA">
            <w:pPr>
              <w:pStyle w:val="B1"/>
              <w:rPr>
                <w:sz w:val="18"/>
                <w:szCs w:val="18"/>
              </w:rPr>
            </w:pPr>
            <w:r w:rsidRPr="00BA57EA">
              <w:rPr>
                <w:sz w:val="18"/>
                <w:szCs w:val="18"/>
              </w:rPr>
              <w:t>-</w:t>
            </w:r>
            <w:r w:rsidRPr="00BA57EA">
              <w:rPr>
                <w:sz w:val="18"/>
                <w:szCs w:val="18"/>
              </w:rPr>
              <w:tab/>
              <w:t xml:space="preserve">The LMF can use </w:t>
            </w:r>
            <w:proofErr w:type="spellStart"/>
            <w:r w:rsidRPr="00BA57EA">
              <w:rPr>
                <w:sz w:val="18"/>
                <w:szCs w:val="18"/>
              </w:rPr>
              <w:t>NRPPa</w:t>
            </w:r>
            <w:proofErr w:type="spellEnd"/>
            <w:r w:rsidRPr="00BA57EA">
              <w:rPr>
                <w:sz w:val="18"/>
                <w:szCs w:val="18"/>
              </w:rPr>
              <w:t xml:space="preserve"> procedure for MBSR/TRP location query that triggers the MBSR to perform MO-LR.</w:t>
            </w:r>
          </w:p>
          <w:p w14:paraId="4E1F0449" w14:textId="77777777" w:rsidR="00BA57EA" w:rsidRPr="00BA57EA" w:rsidRDefault="00BA57EA" w:rsidP="00BA57EA">
            <w:pPr>
              <w:pStyle w:val="B1"/>
              <w:rPr>
                <w:sz w:val="18"/>
                <w:szCs w:val="18"/>
              </w:rPr>
            </w:pPr>
            <w:r w:rsidRPr="00BA57EA">
              <w:rPr>
                <w:sz w:val="18"/>
                <w:szCs w:val="18"/>
              </w:rPr>
              <w:t>-</w:t>
            </w:r>
            <w:r w:rsidRPr="00BA57EA">
              <w:rPr>
                <w:sz w:val="18"/>
                <w:szCs w:val="18"/>
              </w:rPr>
              <w:tab/>
              <w:t xml:space="preserve">The MBSR location information is provided by the MBSR via NG-RAN to the LMF using </w:t>
            </w:r>
            <w:proofErr w:type="spellStart"/>
            <w:r w:rsidRPr="00BA57EA">
              <w:rPr>
                <w:sz w:val="18"/>
                <w:szCs w:val="18"/>
              </w:rPr>
              <w:t>NRPPa</w:t>
            </w:r>
            <w:proofErr w:type="spellEnd"/>
            <w:r w:rsidRPr="00BA57EA">
              <w:rPr>
                <w:sz w:val="18"/>
                <w:szCs w:val="18"/>
              </w:rPr>
              <w:t>.</w:t>
            </w:r>
          </w:p>
          <w:p w14:paraId="4B74C265" w14:textId="16F4421C" w:rsidR="00BA57EA" w:rsidRPr="00700394" w:rsidRDefault="00BA57EA" w:rsidP="00BA57EA">
            <w:pPr>
              <w:pStyle w:val="B1"/>
              <w:rPr>
                <w:sz w:val="18"/>
                <w:szCs w:val="18"/>
              </w:rPr>
            </w:pPr>
            <w:r w:rsidRPr="00BA57EA">
              <w:rPr>
                <w:sz w:val="18"/>
                <w:szCs w:val="18"/>
                <w:highlight w:val="yellow"/>
              </w:rPr>
              <w:t>NOTE 4:</w:t>
            </w:r>
            <w:r w:rsidRPr="00BA57EA">
              <w:rPr>
                <w:sz w:val="18"/>
                <w:szCs w:val="18"/>
                <w:highlight w:val="yellow"/>
              </w:rPr>
              <w:tab/>
              <w:t xml:space="preserve">Enhancements to the </w:t>
            </w:r>
            <w:proofErr w:type="spellStart"/>
            <w:r w:rsidRPr="00BA57EA">
              <w:rPr>
                <w:sz w:val="18"/>
                <w:szCs w:val="18"/>
                <w:highlight w:val="yellow"/>
              </w:rPr>
              <w:t>NRPPa</w:t>
            </w:r>
            <w:proofErr w:type="spellEnd"/>
            <w:r w:rsidRPr="00BA57EA">
              <w:rPr>
                <w:sz w:val="18"/>
                <w:szCs w:val="18"/>
                <w:highlight w:val="yellow"/>
              </w:rPr>
              <w:t xml:space="preserve"> TRP Information Exchange procedure and to its F1AP equivalent depends on RAN WGs. The normative work in SA WG2 based on </w:t>
            </w:r>
            <w:proofErr w:type="spellStart"/>
            <w:r w:rsidRPr="00BA57EA">
              <w:rPr>
                <w:sz w:val="18"/>
                <w:szCs w:val="18"/>
                <w:highlight w:val="yellow"/>
              </w:rPr>
              <w:t>NRPPa</w:t>
            </w:r>
            <w:proofErr w:type="spellEnd"/>
            <w:r w:rsidRPr="00BA57EA">
              <w:rPr>
                <w:sz w:val="18"/>
                <w:szCs w:val="18"/>
                <w:highlight w:val="yellow"/>
              </w:rPr>
              <w:t xml:space="preserve"> procedure would start when RAN WGs confirmed the support.</w:t>
            </w:r>
          </w:p>
        </w:tc>
        <w:tc>
          <w:tcPr>
            <w:tcW w:w="2235" w:type="dxa"/>
            <w:tcBorders>
              <w:top w:val="single" w:sz="4" w:space="0" w:color="auto"/>
              <w:left w:val="single" w:sz="4" w:space="0" w:color="auto"/>
              <w:bottom w:val="single" w:sz="4" w:space="0" w:color="auto"/>
              <w:right w:val="single" w:sz="4" w:space="0" w:color="auto"/>
            </w:tcBorders>
            <w:hideMark/>
          </w:tcPr>
          <w:p w14:paraId="41F45694" w14:textId="77777777" w:rsidR="00BA57EA" w:rsidRDefault="00BA57EA" w:rsidP="00BA57EA">
            <w:pPr>
              <w:pStyle w:val="TAL"/>
              <w:rPr>
                <w:rFonts w:ascii="Times New Roman" w:hAnsi="Times New Roman"/>
                <w:szCs w:val="18"/>
                <w:lang w:eastAsia="ja-JP"/>
              </w:rPr>
            </w:pPr>
            <w:r>
              <w:rPr>
                <w:rFonts w:ascii="Times New Roman" w:hAnsi="Times New Roman"/>
                <w:szCs w:val="18"/>
                <w:lang w:eastAsia="ja-JP"/>
              </w:rPr>
              <w:t>To support SA2’s conclusion, RAN3 needs to discuss:</w:t>
            </w:r>
          </w:p>
          <w:p w14:paraId="2428DCD0" w14:textId="2574DEFC" w:rsidR="00BA57EA" w:rsidRDefault="00BA57EA" w:rsidP="00BA57EA">
            <w:pPr>
              <w:pStyle w:val="TAL"/>
              <w:rPr>
                <w:rFonts w:ascii="Times New Roman" w:hAnsi="Times New Roman"/>
                <w:szCs w:val="18"/>
                <w:lang w:eastAsia="ja-JP"/>
              </w:rPr>
            </w:pPr>
            <w:r>
              <w:rPr>
                <w:rFonts w:ascii="Times New Roman" w:hAnsi="Times New Roman"/>
                <w:szCs w:val="18"/>
                <w:lang w:eastAsia="ja-JP"/>
              </w:rPr>
              <w:t>-  How to introduce GPSI as IAB-MT’s ID over F1AP</w:t>
            </w:r>
            <w:r w:rsidR="0042640A">
              <w:rPr>
                <w:rFonts w:ascii="Times New Roman" w:hAnsi="Times New Roman"/>
                <w:szCs w:val="18"/>
                <w:lang w:eastAsia="ja-JP"/>
              </w:rPr>
              <w:t xml:space="preserve">, </w:t>
            </w:r>
            <w:proofErr w:type="spellStart"/>
            <w:r>
              <w:rPr>
                <w:rFonts w:ascii="Times New Roman" w:hAnsi="Times New Roman"/>
                <w:szCs w:val="18"/>
                <w:lang w:eastAsia="ja-JP"/>
              </w:rPr>
              <w:t>NRPPa</w:t>
            </w:r>
            <w:proofErr w:type="spellEnd"/>
            <w:r w:rsidR="0042640A">
              <w:rPr>
                <w:rFonts w:ascii="Times New Roman" w:hAnsi="Times New Roman"/>
                <w:szCs w:val="18"/>
                <w:lang w:eastAsia="ja-JP"/>
              </w:rPr>
              <w:t xml:space="preserve"> and NGAP</w:t>
            </w:r>
          </w:p>
          <w:p w14:paraId="0F9B38F9" w14:textId="48435CF6" w:rsidR="00F9580C" w:rsidRDefault="00F9580C" w:rsidP="00BA57EA">
            <w:pPr>
              <w:pStyle w:val="TAL"/>
              <w:rPr>
                <w:rFonts w:ascii="Times New Roman" w:hAnsi="Times New Roman"/>
                <w:szCs w:val="18"/>
                <w:lang w:eastAsia="ja-JP"/>
              </w:rPr>
            </w:pPr>
            <w:r>
              <w:rPr>
                <w:rFonts w:ascii="Times New Roman" w:hAnsi="Times New Roman"/>
                <w:szCs w:val="18"/>
                <w:lang w:eastAsia="ja-JP"/>
              </w:rPr>
              <w:t>- How to update the mapping relation if the cell identity is changed.</w:t>
            </w:r>
          </w:p>
          <w:p w14:paraId="327CBFC4" w14:textId="77777777" w:rsidR="0042640A" w:rsidRDefault="009F2175" w:rsidP="00BA57EA">
            <w:pPr>
              <w:pStyle w:val="TAL"/>
              <w:rPr>
                <w:rFonts w:ascii="Times New Roman" w:hAnsi="Times New Roman"/>
                <w:szCs w:val="18"/>
                <w:lang w:eastAsia="zh-CN"/>
              </w:rPr>
            </w:pPr>
            <w:r>
              <w:rPr>
                <w:rFonts w:ascii="Times New Roman" w:hAnsi="Times New Roman"/>
                <w:szCs w:val="18"/>
                <w:lang w:eastAsia="ja-JP"/>
              </w:rPr>
              <w:t>- H</w:t>
            </w:r>
            <w:r>
              <w:rPr>
                <w:rFonts w:ascii="Times New Roman" w:hAnsi="Times New Roman" w:hint="eastAsia"/>
                <w:szCs w:val="18"/>
                <w:lang w:eastAsia="zh-CN"/>
              </w:rPr>
              <w:t>ow</w:t>
            </w:r>
            <w:r>
              <w:rPr>
                <w:rFonts w:ascii="Times New Roman" w:hAnsi="Times New Roman"/>
                <w:szCs w:val="18"/>
                <w:lang w:eastAsia="zh-CN"/>
              </w:rPr>
              <w:t xml:space="preserve"> </w:t>
            </w:r>
            <w:r>
              <w:rPr>
                <w:rFonts w:ascii="Times New Roman" w:hAnsi="Times New Roman" w:hint="eastAsia"/>
                <w:szCs w:val="18"/>
                <w:lang w:eastAsia="zh-CN"/>
              </w:rPr>
              <w:t>the</w:t>
            </w:r>
            <w:r>
              <w:rPr>
                <w:rFonts w:ascii="Times New Roman" w:hAnsi="Times New Roman"/>
                <w:szCs w:val="18"/>
                <w:lang w:eastAsia="ja-JP"/>
              </w:rPr>
              <w:t xml:space="preserve"> </w:t>
            </w:r>
            <w:r>
              <w:rPr>
                <w:rFonts w:ascii="Times New Roman" w:hAnsi="Times New Roman"/>
                <w:szCs w:val="18"/>
                <w:lang w:eastAsia="zh-CN"/>
              </w:rPr>
              <w:t xml:space="preserve">AMF </w:t>
            </w:r>
            <w:r w:rsidR="0042640A">
              <w:rPr>
                <w:rFonts w:ascii="Times New Roman" w:hAnsi="Times New Roman"/>
                <w:szCs w:val="18"/>
                <w:lang w:eastAsia="zh-CN"/>
              </w:rPr>
              <w:t xml:space="preserve">serving UE </w:t>
            </w:r>
            <w:r>
              <w:rPr>
                <w:rFonts w:ascii="Times New Roman" w:hAnsi="Times New Roman" w:hint="eastAsia"/>
                <w:szCs w:val="18"/>
                <w:lang w:eastAsia="zh-CN"/>
              </w:rPr>
              <w:t>obtains</w:t>
            </w:r>
            <w:r>
              <w:rPr>
                <w:rFonts w:ascii="Times New Roman" w:hAnsi="Times New Roman"/>
                <w:szCs w:val="18"/>
                <w:lang w:eastAsia="zh-CN"/>
              </w:rPr>
              <w:t xml:space="preserve"> </w:t>
            </w:r>
            <w:r>
              <w:rPr>
                <w:rFonts w:ascii="Times New Roman" w:hAnsi="Times New Roman" w:hint="eastAsia"/>
                <w:szCs w:val="18"/>
                <w:lang w:eastAsia="zh-CN"/>
              </w:rPr>
              <w:t>the</w:t>
            </w:r>
            <w:r>
              <w:rPr>
                <w:rFonts w:ascii="Times New Roman" w:hAnsi="Times New Roman"/>
                <w:szCs w:val="18"/>
                <w:lang w:eastAsia="zh-CN"/>
              </w:rPr>
              <w:t xml:space="preserve"> IAB-MT ID </w:t>
            </w:r>
            <w:r w:rsidR="0042640A">
              <w:rPr>
                <w:rFonts w:ascii="Times New Roman" w:hAnsi="Times New Roman"/>
                <w:szCs w:val="18"/>
                <w:lang w:eastAsia="zh-CN"/>
              </w:rPr>
              <w:t>in the following cases:</w:t>
            </w:r>
          </w:p>
          <w:p w14:paraId="32F73213" w14:textId="72B3CBE8" w:rsidR="009F2175" w:rsidRDefault="0042640A" w:rsidP="00BA57EA">
            <w:pPr>
              <w:pStyle w:val="TAL"/>
              <w:rPr>
                <w:rFonts w:ascii="Times New Roman" w:hAnsi="Times New Roman"/>
                <w:szCs w:val="18"/>
                <w:lang w:eastAsia="zh-CN"/>
              </w:rPr>
            </w:pPr>
            <w:r>
              <w:rPr>
                <w:rFonts w:ascii="Times New Roman" w:hAnsi="Times New Roman"/>
                <w:szCs w:val="18"/>
                <w:lang w:eastAsia="zh-CN"/>
              </w:rPr>
              <w:t xml:space="preserve"> -- </w:t>
            </w:r>
            <w:r w:rsidR="00F9580C">
              <w:rPr>
                <w:rFonts w:ascii="Times New Roman" w:hAnsi="Times New Roman"/>
                <w:szCs w:val="18"/>
                <w:lang w:eastAsia="zh-CN"/>
              </w:rPr>
              <w:t xml:space="preserve">the IAB-MT and IAB-DU </w:t>
            </w:r>
            <w:r w:rsidR="00083075">
              <w:rPr>
                <w:rFonts w:ascii="Times New Roman" w:hAnsi="Times New Roman"/>
                <w:szCs w:val="18"/>
                <w:lang w:eastAsia="zh-CN"/>
              </w:rPr>
              <w:t>area connected to</w:t>
            </w:r>
            <w:r w:rsidR="00F9580C">
              <w:rPr>
                <w:rFonts w:ascii="Times New Roman" w:hAnsi="Times New Roman"/>
                <w:szCs w:val="18"/>
                <w:lang w:eastAsia="zh-CN"/>
              </w:rPr>
              <w:t xml:space="preserve"> the same IAB-donor-CU</w:t>
            </w:r>
          </w:p>
          <w:p w14:paraId="69EEF548" w14:textId="4F71CBD5" w:rsidR="00F9580C" w:rsidRDefault="00F9580C" w:rsidP="00BA57EA">
            <w:pPr>
              <w:pStyle w:val="TAL"/>
              <w:rPr>
                <w:rFonts w:ascii="Times New Roman" w:hAnsi="Times New Roman"/>
                <w:szCs w:val="18"/>
                <w:lang w:eastAsia="zh-CN"/>
              </w:rPr>
            </w:pPr>
            <w:r>
              <w:rPr>
                <w:rFonts w:ascii="Times New Roman" w:hAnsi="Times New Roman"/>
                <w:szCs w:val="18"/>
                <w:lang w:eastAsia="zh-CN"/>
              </w:rPr>
              <w:t xml:space="preserve">-- the IAB-MT and IAB-DU </w:t>
            </w:r>
            <w:r w:rsidR="00083075">
              <w:rPr>
                <w:rFonts w:ascii="Times New Roman" w:hAnsi="Times New Roman"/>
                <w:szCs w:val="18"/>
                <w:lang w:eastAsia="zh-CN"/>
              </w:rPr>
              <w:t>are connected to different</w:t>
            </w:r>
            <w:r>
              <w:rPr>
                <w:rFonts w:ascii="Times New Roman" w:hAnsi="Times New Roman"/>
                <w:szCs w:val="18"/>
                <w:lang w:eastAsia="zh-CN"/>
              </w:rPr>
              <w:t xml:space="preserve"> IAB-donor-CUs</w:t>
            </w:r>
          </w:p>
          <w:p w14:paraId="29FCA15F" w14:textId="5BC77168" w:rsidR="009F2175" w:rsidRDefault="009F2175" w:rsidP="00BA57EA">
            <w:pPr>
              <w:pStyle w:val="TAL"/>
              <w:rPr>
                <w:rFonts w:ascii="Times New Roman" w:hAnsi="Times New Roman"/>
                <w:szCs w:val="18"/>
                <w:lang w:eastAsia="zh-CN"/>
              </w:rPr>
            </w:pPr>
          </w:p>
          <w:p w14:paraId="0D569B75" w14:textId="4E968C41" w:rsidR="009F2175" w:rsidRDefault="009F2175" w:rsidP="00BA57EA">
            <w:pPr>
              <w:pStyle w:val="TAL"/>
              <w:rPr>
                <w:rFonts w:ascii="Times New Roman" w:hAnsi="Times New Roman"/>
                <w:szCs w:val="18"/>
                <w:lang w:eastAsia="zh-CN"/>
              </w:rPr>
            </w:pPr>
          </w:p>
          <w:p w14:paraId="008F6EA9" w14:textId="19950318" w:rsidR="009F2175" w:rsidRDefault="009F2175" w:rsidP="00BA57EA">
            <w:pPr>
              <w:pStyle w:val="TAL"/>
              <w:rPr>
                <w:rFonts w:ascii="Times New Roman" w:hAnsi="Times New Roman"/>
                <w:szCs w:val="18"/>
                <w:lang w:eastAsia="zh-CN"/>
              </w:rPr>
            </w:pPr>
          </w:p>
          <w:p w14:paraId="04A45DF4" w14:textId="30B51B64" w:rsidR="009F2175" w:rsidRDefault="009F2175" w:rsidP="00BA57EA">
            <w:pPr>
              <w:pStyle w:val="TAL"/>
              <w:rPr>
                <w:rFonts w:ascii="Times New Roman" w:hAnsi="Times New Roman"/>
                <w:szCs w:val="18"/>
                <w:lang w:eastAsia="zh-CN"/>
              </w:rPr>
            </w:pPr>
          </w:p>
          <w:p w14:paraId="2EE8A0EF" w14:textId="2D72CB9A" w:rsidR="009F2175" w:rsidRDefault="009F2175" w:rsidP="00BA57EA">
            <w:pPr>
              <w:pStyle w:val="TAL"/>
              <w:rPr>
                <w:rFonts w:ascii="Times New Roman" w:hAnsi="Times New Roman"/>
                <w:szCs w:val="18"/>
                <w:lang w:eastAsia="zh-CN"/>
              </w:rPr>
            </w:pPr>
          </w:p>
          <w:p w14:paraId="59526C57" w14:textId="568AC15C" w:rsidR="00BA57EA" w:rsidRPr="00BA57EA" w:rsidRDefault="00BA57EA" w:rsidP="007F437C">
            <w:pPr>
              <w:pStyle w:val="TAL"/>
              <w:rPr>
                <w:rFonts w:ascii="Times New Roman" w:hAnsi="Times New Roman"/>
                <w:szCs w:val="18"/>
                <w:lang w:eastAsia="ja-JP"/>
              </w:rPr>
            </w:pPr>
          </w:p>
        </w:tc>
      </w:tr>
    </w:tbl>
    <w:p w14:paraId="1D326A6B" w14:textId="77777777" w:rsidR="00BA57EA" w:rsidRDefault="00BA57EA" w:rsidP="00E71097">
      <w:pPr>
        <w:pStyle w:val="B1"/>
        <w:ind w:left="0" w:firstLine="0"/>
        <w:rPr>
          <w:b/>
        </w:rPr>
      </w:pPr>
    </w:p>
    <w:p w14:paraId="20C66339" w14:textId="58A06F5C" w:rsidR="0042640A" w:rsidRPr="00F9580C" w:rsidRDefault="00761E0F" w:rsidP="00E71097">
      <w:pPr>
        <w:pStyle w:val="B1"/>
        <w:ind w:left="0" w:firstLine="0"/>
        <w:rPr>
          <w:b/>
          <w:sz w:val="22"/>
        </w:rPr>
      </w:pPr>
      <w:r w:rsidRPr="00F9580C">
        <w:rPr>
          <w:b/>
          <w:sz w:val="22"/>
        </w:rPr>
        <w:t>Observation</w:t>
      </w:r>
      <w:r w:rsidR="00A30B98" w:rsidRPr="00F9580C">
        <w:rPr>
          <w:b/>
          <w:sz w:val="22"/>
        </w:rPr>
        <w:t xml:space="preserve"> </w:t>
      </w:r>
      <w:r w:rsidR="00CB7416">
        <w:rPr>
          <w:b/>
          <w:sz w:val="22"/>
        </w:rPr>
        <w:t>4</w:t>
      </w:r>
      <w:r w:rsidR="00A30B98" w:rsidRPr="00F9580C">
        <w:rPr>
          <w:b/>
          <w:sz w:val="22"/>
        </w:rPr>
        <w:t>,</w:t>
      </w:r>
      <w:r w:rsidR="00AD2AA1" w:rsidRPr="00F9580C">
        <w:rPr>
          <w:b/>
          <w:sz w:val="22"/>
        </w:rPr>
        <w:t xml:space="preserve"> </w:t>
      </w:r>
      <w:r w:rsidR="0042640A" w:rsidRPr="00F9580C">
        <w:rPr>
          <w:b/>
          <w:sz w:val="22"/>
        </w:rPr>
        <w:t>SA2 conclude that the IAB-MT UE ID (i.e. GPSI) needs to be provided to the AMF serving the UE and LMF.</w:t>
      </w:r>
    </w:p>
    <w:p w14:paraId="45C37080" w14:textId="411F772B" w:rsidR="0042640A" w:rsidRPr="00F9580C" w:rsidRDefault="0042640A" w:rsidP="00E71097">
      <w:pPr>
        <w:pStyle w:val="B1"/>
        <w:ind w:left="0" w:firstLine="0"/>
        <w:rPr>
          <w:b/>
          <w:sz w:val="22"/>
        </w:rPr>
      </w:pPr>
      <w:r w:rsidRPr="00F9580C">
        <w:rPr>
          <w:b/>
          <w:sz w:val="22"/>
        </w:rPr>
        <w:t>Observation</w:t>
      </w:r>
      <w:r w:rsidR="00CB7416">
        <w:rPr>
          <w:b/>
          <w:sz w:val="22"/>
        </w:rPr>
        <w:t xml:space="preserve"> 5</w:t>
      </w:r>
      <w:r w:rsidRPr="00F9580C">
        <w:rPr>
          <w:b/>
          <w:sz w:val="22"/>
        </w:rPr>
        <w:t>, the mapping relation between cell identify and IAB-MT ID needs to be provided to the AMF serving the UE and LMF.</w:t>
      </w:r>
    </w:p>
    <w:p w14:paraId="3333FF0F" w14:textId="71AA475E" w:rsidR="00A30B98" w:rsidRPr="00F9580C" w:rsidRDefault="0042640A" w:rsidP="00E71097">
      <w:pPr>
        <w:pStyle w:val="B1"/>
        <w:ind w:left="0" w:firstLine="0"/>
        <w:rPr>
          <w:b/>
          <w:sz w:val="22"/>
        </w:rPr>
      </w:pPr>
      <w:r w:rsidRPr="00F9580C">
        <w:rPr>
          <w:b/>
          <w:sz w:val="22"/>
        </w:rPr>
        <w:t>Observation</w:t>
      </w:r>
      <w:r w:rsidR="00CB7416">
        <w:rPr>
          <w:b/>
          <w:sz w:val="22"/>
        </w:rPr>
        <w:t xml:space="preserve"> 6</w:t>
      </w:r>
      <w:r w:rsidRPr="00F9580C">
        <w:rPr>
          <w:b/>
          <w:sz w:val="22"/>
        </w:rPr>
        <w:t>, exchanging GPSIs between network nodes has no privacy issue as they are used as public identifiers used both inside and outside of the 3GPP system.</w:t>
      </w:r>
    </w:p>
    <w:p w14:paraId="0AA6DC75" w14:textId="651EA4CA" w:rsidR="00CE075A" w:rsidRPr="00F9580C" w:rsidRDefault="00CE075A" w:rsidP="00E71097">
      <w:pPr>
        <w:pStyle w:val="B1"/>
        <w:ind w:left="0" w:firstLine="0"/>
        <w:rPr>
          <w:b/>
          <w:sz w:val="22"/>
        </w:rPr>
      </w:pPr>
      <w:r w:rsidRPr="00F9580C">
        <w:rPr>
          <w:b/>
          <w:sz w:val="22"/>
        </w:rPr>
        <w:t>Observation</w:t>
      </w:r>
      <w:r w:rsidR="00CB7416">
        <w:rPr>
          <w:b/>
          <w:sz w:val="22"/>
        </w:rPr>
        <w:t xml:space="preserve"> 7</w:t>
      </w:r>
      <w:r w:rsidRPr="00F9580C">
        <w:rPr>
          <w:b/>
          <w:sz w:val="22"/>
        </w:rPr>
        <w:t>, cell iden</w:t>
      </w:r>
      <w:r w:rsidR="00661613" w:rsidRPr="00F9580C">
        <w:rPr>
          <w:b/>
          <w:sz w:val="22"/>
        </w:rPr>
        <w:t>tifies of the mobile IAB may change</w:t>
      </w:r>
      <w:r w:rsidR="00A2521A">
        <w:rPr>
          <w:b/>
          <w:sz w:val="22"/>
        </w:rPr>
        <w:t xml:space="preserve"> frequently</w:t>
      </w:r>
      <w:r w:rsidR="00661613" w:rsidRPr="00F9580C">
        <w:rPr>
          <w:b/>
          <w:sz w:val="22"/>
        </w:rPr>
        <w:t xml:space="preserve"> if the serving donor-CU is changed</w:t>
      </w:r>
      <w:r w:rsidR="00A2521A">
        <w:rPr>
          <w:b/>
          <w:sz w:val="22"/>
        </w:rPr>
        <w:t xml:space="preserve"> or interference is detected</w:t>
      </w:r>
      <w:r w:rsidR="00661613" w:rsidRPr="00F9580C">
        <w:rPr>
          <w:b/>
          <w:sz w:val="22"/>
        </w:rPr>
        <w:t>.</w:t>
      </w:r>
    </w:p>
    <w:p w14:paraId="630CC161" w14:textId="5638E3EC" w:rsidR="00A30B98" w:rsidRDefault="00A30B98" w:rsidP="00E71097">
      <w:pPr>
        <w:pStyle w:val="B1"/>
        <w:ind w:left="0" w:firstLine="0"/>
        <w:rPr>
          <w:b/>
        </w:rPr>
      </w:pPr>
      <w:r w:rsidRPr="00A30B98">
        <w:rPr>
          <w:b/>
        </w:rPr>
        <w:t>Proposal</w:t>
      </w:r>
      <w:r>
        <w:rPr>
          <w:b/>
        </w:rPr>
        <w:t xml:space="preserve"> </w:t>
      </w:r>
      <w:r w:rsidR="00CB7416">
        <w:rPr>
          <w:b/>
        </w:rPr>
        <w:t>4</w:t>
      </w:r>
      <w:r w:rsidRPr="00A30B98">
        <w:rPr>
          <w:b/>
        </w:rPr>
        <w:t>, RAN</w:t>
      </w:r>
      <w:r w:rsidR="00F06E56" w:rsidRPr="00A30B98">
        <w:rPr>
          <w:b/>
        </w:rPr>
        <w:t>3 agree</w:t>
      </w:r>
      <w:r w:rsidR="00F9580C">
        <w:rPr>
          <w:b/>
        </w:rPr>
        <w:t xml:space="preserve">s </w:t>
      </w:r>
      <w:r w:rsidR="00F06E56">
        <w:rPr>
          <w:b/>
        </w:rPr>
        <w:t xml:space="preserve">GPSI </w:t>
      </w:r>
      <w:r w:rsidR="0042640A">
        <w:rPr>
          <w:b/>
        </w:rPr>
        <w:t>can be used as IAB-MT UE ID within NG-RAN.</w:t>
      </w:r>
    </w:p>
    <w:p w14:paraId="1A33EC64" w14:textId="70B41468" w:rsidR="00F9580C" w:rsidRDefault="00F9580C" w:rsidP="00E71097">
      <w:pPr>
        <w:pStyle w:val="B1"/>
        <w:ind w:left="0" w:firstLine="0"/>
        <w:rPr>
          <w:b/>
        </w:rPr>
      </w:pPr>
      <w:r>
        <w:rPr>
          <w:b/>
        </w:rPr>
        <w:t>Proposal</w:t>
      </w:r>
      <w:r w:rsidR="00CB7416">
        <w:rPr>
          <w:b/>
        </w:rPr>
        <w:t xml:space="preserve"> 5</w:t>
      </w:r>
      <w:r>
        <w:rPr>
          <w:b/>
        </w:rPr>
        <w:t>, RAN3 discuss how to provide and update the mapping relation between the cell identif</w:t>
      </w:r>
      <w:r w:rsidR="00A2521A">
        <w:rPr>
          <w:b/>
        </w:rPr>
        <w:t>ies</w:t>
      </w:r>
      <w:r>
        <w:rPr>
          <w:b/>
        </w:rPr>
        <w:t xml:space="preserve"> and GPSI considering all the scenarios of migration.</w:t>
      </w:r>
    </w:p>
    <w:p w14:paraId="140E51AC" w14:textId="0AFD96C9" w:rsidR="00A30B98" w:rsidRPr="00A30B98" w:rsidRDefault="00A30B98" w:rsidP="00E71097">
      <w:pPr>
        <w:pStyle w:val="B1"/>
        <w:ind w:left="0" w:firstLine="0"/>
        <w:rPr>
          <w:b/>
        </w:rPr>
      </w:pPr>
      <w:r>
        <w:rPr>
          <w:b/>
        </w:rPr>
        <w:t xml:space="preserve">Proposal </w:t>
      </w:r>
      <w:r w:rsidR="00CB7416">
        <w:rPr>
          <w:b/>
        </w:rPr>
        <w:t>6</w:t>
      </w:r>
      <w:r>
        <w:rPr>
          <w:b/>
        </w:rPr>
        <w:t>, RAN3</w:t>
      </w:r>
      <w:r w:rsidR="008243AE">
        <w:rPr>
          <w:b/>
        </w:rPr>
        <w:t xml:space="preserve"> </w:t>
      </w:r>
      <w:r w:rsidR="00F9580C">
        <w:rPr>
          <w:b/>
        </w:rPr>
        <w:t>answers SA2 that RAN3 would like to support SA2’s conclusion and needs to further discuss the potential enhancements</w:t>
      </w:r>
      <w:r w:rsidR="00AD2AA1">
        <w:rPr>
          <w:b/>
        </w:rPr>
        <w:t>.</w:t>
      </w:r>
    </w:p>
    <w:p w14:paraId="0787585D" w14:textId="1929C768" w:rsidR="005845B8" w:rsidRDefault="005845B8" w:rsidP="00A30B98">
      <w:pPr>
        <w:pStyle w:val="2"/>
      </w:pPr>
      <w:r>
        <w:lastRenderedPageBreak/>
        <w:t>2.</w:t>
      </w:r>
      <w:r w:rsidR="0011641F">
        <w:t>5</w:t>
      </w:r>
      <w:r>
        <w:tab/>
      </w:r>
      <w:r w:rsidR="00F06E56" w:rsidRPr="00B319E0">
        <w:rPr>
          <w:i/>
        </w:rPr>
        <w:t>For point#7 (regarding KI#6)</w:t>
      </w:r>
    </w:p>
    <w:p w14:paraId="6E55A4C6" w14:textId="2F07BD4A" w:rsidR="005845B8" w:rsidRDefault="005845B8" w:rsidP="005845B8">
      <w:pPr>
        <w:pStyle w:val="B1"/>
      </w:pPr>
      <w:r>
        <w:t>-</w:t>
      </w:r>
      <w:r>
        <w:tab/>
      </w:r>
      <w:r w:rsidR="00F06E56" w:rsidRPr="00B319E0">
        <w:rPr>
          <w:i/>
        </w:rPr>
        <w:t>For point#7 (regarding KI#6), SA2 would like to clarify that additional information besides existing ULI from donor-</w:t>
      </w:r>
      <w:proofErr w:type="spellStart"/>
      <w:r w:rsidR="00F06E56" w:rsidRPr="00B319E0">
        <w:rPr>
          <w:i/>
        </w:rPr>
        <w:t>gNB</w:t>
      </w:r>
      <w:proofErr w:type="spellEnd"/>
      <w:r w:rsidR="00F06E56" w:rsidRPr="00B319E0">
        <w:rPr>
          <w:i/>
        </w:rPr>
        <w:t xml:space="preserve"> (as defined in Rel-17) is needed, so that the 5GC can understand that the existing ULI cannot be used directly. </w:t>
      </w:r>
      <w:r w:rsidR="00F06E56" w:rsidRPr="00817418">
        <w:rPr>
          <w:i/>
          <w:highlight w:val="yellow"/>
        </w:rPr>
        <w:t>This is crucial for the support</w:t>
      </w:r>
      <w:r w:rsidR="00F06E56" w:rsidRPr="00B319E0">
        <w:rPr>
          <w:i/>
        </w:rPr>
        <w:t xml:space="preserve"> of services that rely on the cell ID to infer the UE locations, e.g. emergency services. </w:t>
      </w:r>
      <w:r w:rsidR="00F06E56" w:rsidRPr="00083075">
        <w:rPr>
          <w:i/>
          <w:highlight w:val="yellow"/>
        </w:rPr>
        <w:t>Therefore, SA2 would like to request RAN3 to either confirm the support of additional ULI for the UE serviced by an MBSR or provide an alternative solution.</w:t>
      </w:r>
      <w:r w:rsidR="00F06E56" w:rsidRPr="00B319E0">
        <w:rPr>
          <w:i/>
        </w:rPr>
        <w:t xml:space="preserve">        </w:t>
      </w:r>
    </w:p>
    <w:p w14:paraId="22309D6E" w14:textId="53AF6D80" w:rsidR="00083075" w:rsidRPr="00083075" w:rsidRDefault="00083075" w:rsidP="004E6C01">
      <w:pPr>
        <w:rPr>
          <w:sz w:val="22"/>
        </w:rPr>
      </w:pPr>
      <w:r w:rsidRPr="00083075">
        <w:rPr>
          <w:sz w:val="22"/>
        </w:rPr>
        <w:t>Regarding how to support of additional ULI for UE served by mobile IAB,</w:t>
      </w:r>
      <w:r w:rsidR="00A2521A">
        <w:rPr>
          <w:sz w:val="22"/>
        </w:rPr>
        <w:t xml:space="preserve"> we think</w:t>
      </w:r>
      <w:r w:rsidRPr="00083075">
        <w:rPr>
          <w:sz w:val="22"/>
        </w:rPr>
        <w:t xml:space="preserve"> two cases can be further considered:</w:t>
      </w:r>
    </w:p>
    <w:p w14:paraId="2E2402ED" w14:textId="0C08A730" w:rsidR="00083075" w:rsidRPr="00083075" w:rsidRDefault="00083075" w:rsidP="00083075">
      <w:pPr>
        <w:ind w:firstLine="284"/>
        <w:rPr>
          <w:sz w:val="22"/>
        </w:rPr>
      </w:pPr>
      <w:r w:rsidRPr="00083075">
        <w:rPr>
          <w:sz w:val="22"/>
        </w:rPr>
        <w:t>-</w:t>
      </w:r>
      <w:r>
        <w:rPr>
          <w:sz w:val="22"/>
        </w:rPr>
        <w:t xml:space="preserve"> for the case that</w:t>
      </w:r>
      <w:r w:rsidRPr="00083075">
        <w:rPr>
          <w:sz w:val="22"/>
        </w:rPr>
        <w:t xml:space="preserve"> the IAB-MT and IAB-DU are connected to the same IAB-donor-CU, the serving IAB-donor-CU of mobile IAB should provide</w:t>
      </w:r>
      <w:r>
        <w:rPr>
          <w:sz w:val="22"/>
        </w:rPr>
        <w:t xml:space="preserve"> the IAB-MT’s ULI as additional ULI of the UEs served by mobile IAB-node</w:t>
      </w:r>
      <w:r w:rsidRPr="00083075">
        <w:rPr>
          <w:sz w:val="22"/>
        </w:rPr>
        <w:t xml:space="preserve"> </w:t>
      </w:r>
      <w:r>
        <w:rPr>
          <w:sz w:val="22"/>
        </w:rPr>
        <w:t>via UE associated NGAP message.</w:t>
      </w:r>
    </w:p>
    <w:p w14:paraId="09FF6068" w14:textId="43028E31" w:rsidR="00F9580C" w:rsidRPr="00A2521A" w:rsidRDefault="00083075" w:rsidP="00A2521A">
      <w:pPr>
        <w:ind w:firstLine="284"/>
        <w:rPr>
          <w:sz w:val="22"/>
        </w:rPr>
      </w:pPr>
      <w:r w:rsidRPr="00083075">
        <w:rPr>
          <w:sz w:val="22"/>
        </w:rPr>
        <w:t xml:space="preserve">- </w:t>
      </w:r>
      <w:r>
        <w:rPr>
          <w:sz w:val="22"/>
        </w:rPr>
        <w:t>for the case that</w:t>
      </w:r>
      <w:r w:rsidRPr="00083075">
        <w:rPr>
          <w:sz w:val="22"/>
        </w:rPr>
        <w:t xml:space="preserve"> the IAB-MT and IAB-DU are connected to different IAB-donor-CUs</w:t>
      </w:r>
      <w:r>
        <w:rPr>
          <w:sz w:val="22"/>
        </w:rPr>
        <w:t xml:space="preserve">, one possible solution is that </w:t>
      </w:r>
      <w:r w:rsidRPr="00083075">
        <w:rPr>
          <w:sz w:val="22"/>
        </w:rPr>
        <w:t>the IAB-donor-CU of mobile IAB</w:t>
      </w:r>
      <w:r>
        <w:rPr>
          <w:sz w:val="22"/>
        </w:rPr>
        <w:t>-DU</w:t>
      </w:r>
      <w:r w:rsidRPr="00083075">
        <w:rPr>
          <w:sz w:val="22"/>
        </w:rPr>
        <w:t xml:space="preserve"> </w:t>
      </w:r>
      <w:r>
        <w:rPr>
          <w:sz w:val="22"/>
        </w:rPr>
        <w:t>can</w:t>
      </w:r>
      <w:r w:rsidRPr="00083075">
        <w:rPr>
          <w:sz w:val="22"/>
        </w:rPr>
        <w:t xml:space="preserve"> provide</w:t>
      </w:r>
      <w:r>
        <w:rPr>
          <w:sz w:val="22"/>
        </w:rPr>
        <w:t xml:space="preserve"> the IAB-MT’s ULI as additional ULI of the UEs served by mobile IAB-node via UE associated NGAP message, the </w:t>
      </w:r>
      <w:r w:rsidRPr="00083075">
        <w:rPr>
          <w:sz w:val="22"/>
        </w:rPr>
        <w:t>IAB-donor-CU of mobile IAB</w:t>
      </w:r>
      <w:r>
        <w:rPr>
          <w:sz w:val="22"/>
        </w:rPr>
        <w:t xml:space="preserve">-DU can obtain the IAB-MT’s ULI from the IAB-donor-CU of mobile IAB-MT via </w:t>
      </w:r>
      <w:proofErr w:type="spellStart"/>
      <w:r>
        <w:rPr>
          <w:sz w:val="22"/>
        </w:rPr>
        <w:t>XnAP</w:t>
      </w:r>
      <w:proofErr w:type="spellEnd"/>
      <w:r>
        <w:rPr>
          <w:sz w:val="22"/>
        </w:rPr>
        <w:t xml:space="preserve"> message.</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228"/>
        <w:gridCol w:w="2235"/>
      </w:tblGrid>
      <w:tr w:rsidR="00F9580C" w:rsidRPr="003F72F0" w14:paraId="2DA539CA" w14:textId="77777777" w:rsidTr="00506B54">
        <w:trPr>
          <w:trHeight w:val="261"/>
        </w:trPr>
        <w:tc>
          <w:tcPr>
            <w:tcW w:w="1838" w:type="dxa"/>
            <w:tcBorders>
              <w:top w:val="single" w:sz="4" w:space="0" w:color="auto"/>
              <w:left w:val="single" w:sz="4" w:space="0" w:color="auto"/>
              <w:bottom w:val="single" w:sz="4" w:space="0" w:color="auto"/>
              <w:right w:val="single" w:sz="4" w:space="0" w:color="auto"/>
            </w:tcBorders>
            <w:vAlign w:val="center"/>
            <w:hideMark/>
          </w:tcPr>
          <w:p w14:paraId="5E5E7E5B" w14:textId="77777777" w:rsidR="00F9580C" w:rsidRPr="003F72F0" w:rsidRDefault="00F9580C" w:rsidP="00506B54">
            <w:pPr>
              <w:pStyle w:val="TAH"/>
              <w:rPr>
                <w:rFonts w:ascii="Times New Roman" w:hAnsi="Times New Roman"/>
                <w:sz w:val="20"/>
                <w:szCs w:val="18"/>
                <w:lang w:eastAsia="ja-JP"/>
              </w:rPr>
            </w:pPr>
            <w:r w:rsidRPr="003F72F0">
              <w:rPr>
                <w:rFonts w:ascii="Times New Roman" w:hAnsi="Times New Roman"/>
                <w:sz w:val="20"/>
                <w:szCs w:val="18"/>
                <w:lang w:eastAsia="ja-JP"/>
              </w:rPr>
              <w:t>SA2’s KI</w:t>
            </w:r>
          </w:p>
        </w:tc>
        <w:tc>
          <w:tcPr>
            <w:tcW w:w="5228" w:type="dxa"/>
            <w:tcBorders>
              <w:top w:val="single" w:sz="4" w:space="0" w:color="auto"/>
              <w:left w:val="single" w:sz="4" w:space="0" w:color="auto"/>
              <w:bottom w:val="single" w:sz="4" w:space="0" w:color="auto"/>
              <w:right w:val="single" w:sz="4" w:space="0" w:color="auto"/>
            </w:tcBorders>
            <w:vAlign w:val="center"/>
            <w:hideMark/>
          </w:tcPr>
          <w:p w14:paraId="6A226390" w14:textId="77777777" w:rsidR="00F9580C" w:rsidRPr="003F72F0" w:rsidRDefault="00F9580C" w:rsidP="00506B54">
            <w:pPr>
              <w:pStyle w:val="TAH"/>
              <w:rPr>
                <w:rFonts w:ascii="Times New Roman" w:hAnsi="Times New Roman"/>
                <w:sz w:val="20"/>
                <w:szCs w:val="18"/>
                <w:lang w:eastAsia="ja-JP"/>
              </w:rPr>
            </w:pPr>
            <w:r w:rsidRPr="003F72F0">
              <w:rPr>
                <w:rFonts w:ascii="Times New Roman" w:hAnsi="Times New Roman"/>
                <w:sz w:val="20"/>
                <w:szCs w:val="18"/>
                <w:lang w:eastAsia="ja-JP"/>
              </w:rPr>
              <w:t>SA2 conclusion related to RAN</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4528AD7" w14:textId="77777777" w:rsidR="00F9580C" w:rsidRPr="003F72F0" w:rsidRDefault="00F9580C" w:rsidP="00506B54">
            <w:pPr>
              <w:pStyle w:val="TAH"/>
              <w:rPr>
                <w:rFonts w:ascii="Times New Roman" w:hAnsi="Times New Roman"/>
                <w:sz w:val="20"/>
                <w:szCs w:val="18"/>
                <w:lang w:eastAsia="ja-JP"/>
              </w:rPr>
            </w:pPr>
            <w:r w:rsidRPr="003F72F0">
              <w:rPr>
                <w:rFonts w:ascii="Times New Roman" w:hAnsi="Times New Roman"/>
                <w:sz w:val="20"/>
                <w:szCs w:val="18"/>
                <w:lang w:eastAsia="ja-JP"/>
              </w:rPr>
              <w:t>RAN3’s work</w:t>
            </w:r>
          </w:p>
        </w:tc>
      </w:tr>
      <w:tr w:rsidR="00F9580C" w:rsidRPr="00BA57EA" w14:paraId="0932842F" w14:textId="77777777" w:rsidTr="00506B54">
        <w:trPr>
          <w:trHeight w:val="1772"/>
        </w:trPr>
        <w:tc>
          <w:tcPr>
            <w:tcW w:w="1838" w:type="dxa"/>
            <w:tcBorders>
              <w:top w:val="single" w:sz="4" w:space="0" w:color="auto"/>
              <w:left w:val="single" w:sz="4" w:space="0" w:color="auto"/>
              <w:bottom w:val="single" w:sz="4" w:space="0" w:color="auto"/>
              <w:right w:val="single" w:sz="4" w:space="0" w:color="auto"/>
            </w:tcBorders>
            <w:hideMark/>
          </w:tcPr>
          <w:p w14:paraId="36A6D280" w14:textId="6E4CC164" w:rsidR="00F9580C" w:rsidRPr="0042640A" w:rsidRDefault="00F9580C" w:rsidP="00506B54">
            <w:pPr>
              <w:pStyle w:val="TAL"/>
              <w:rPr>
                <w:rFonts w:ascii="Times New Roman" w:hAnsi="Times New Roman"/>
                <w:bCs/>
                <w:iCs/>
                <w:szCs w:val="18"/>
                <w:lang w:eastAsia="ja-JP"/>
              </w:rPr>
            </w:pPr>
            <w:r w:rsidRPr="0042640A">
              <w:rPr>
                <w:rFonts w:ascii="Times New Roman" w:hAnsi="Times New Roman"/>
              </w:rPr>
              <w:t>Key Issue #</w:t>
            </w:r>
            <w:r w:rsidR="00602E0A">
              <w:rPr>
                <w:rFonts w:ascii="Times New Roman" w:hAnsi="Times New Roman"/>
              </w:rPr>
              <w:t>6</w:t>
            </w:r>
            <w:r w:rsidRPr="0042640A">
              <w:rPr>
                <w:rFonts w:ascii="Times New Roman" w:hAnsi="Times New Roman"/>
              </w:rPr>
              <w:t xml:space="preserve">: </w:t>
            </w:r>
            <w:r w:rsidR="00602E0A" w:rsidRPr="00602E0A">
              <w:rPr>
                <w:rFonts w:ascii="Times New Roman" w:hAnsi="Times New Roman"/>
              </w:rPr>
              <w:t>Provide cell ID/TAC of mobile base station relay for services</w:t>
            </w:r>
          </w:p>
        </w:tc>
        <w:tc>
          <w:tcPr>
            <w:tcW w:w="5228" w:type="dxa"/>
            <w:tcBorders>
              <w:top w:val="single" w:sz="4" w:space="0" w:color="auto"/>
              <w:left w:val="single" w:sz="4" w:space="0" w:color="auto"/>
              <w:bottom w:val="single" w:sz="4" w:space="0" w:color="auto"/>
              <w:right w:val="single" w:sz="4" w:space="0" w:color="auto"/>
            </w:tcBorders>
            <w:hideMark/>
          </w:tcPr>
          <w:p w14:paraId="3336D15A" w14:textId="77777777" w:rsidR="00083075" w:rsidRPr="00083075" w:rsidRDefault="00083075" w:rsidP="00083075">
            <w:pPr>
              <w:pStyle w:val="B1"/>
              <w:ind w:left="284"/>
              <w:rPr>
                <w:sz w:val="18"/>
                <w:szCs w:val="18"/>
              </w:rPr>
            </w:pPr>
            <w:r w:rsidRPr="00083075">
              <w:rPr>
                <w:sz w:val="18"/>
                <w:szCs w:val="18"/>
                <w:highlight w:val="yellow"/>
              </w:rPr>
              <w:t>-</w:t>
            </w:r>
            <w:r w:rsidRPr="00083075">
              <w:rPr>
                <w:sz w:val="18"/>
                <w:szCs w:val="18"/>
                <w:highlight w:val="yellow"/>
              </w:rPr>
              <w:tab/>
              <w:t xml:space="preserve">the NG-RAN provides an additional ULI based on the MBSR's donor </w:t>
            </w:r>
            <w:proofErr w:type="spellStart"/>
            <w:r w:rsidRPr="00083075">
              <w:rPr>
                <w:sz w:val="18"/>
                <w:szCs w:val="18"/>
                <w:highlight w:val="yellow"/>
              </w:rPr>
              <w:t>gNB</w:t>
            </w:r>
            <w:proofErr w:type="spellEnd"/>
            <w:r w:rsidRPr="00083075">
              <w:rPr>
                <w:sz w:val="18"/>
                <w:szCs w:val="18"/>
                <w:highlight w:val="yellow"/>
              </w:rPr>
              <w:t xml:space="preserve"> information, together with the existing ULI, to the AMF when a UE connects to the 5GC via a MBSR. The additional ULI includes the TAI/NR CGI of selected by the IAB-Node when it's registered to the network.</w:t>
            </w:r>
          </w:p>
          <w:p w14:paraId="77A00987" w14:textId="77777777" w:rsidR="00083075" w:rsidRPr="00083075" w:rsidRDefault="00083075" w:rsidP="00083075">
            <w:pPr>
              <w:pStyle w:val="B1"/>
              <w:ind w:left="284"/>
              <w:rPr>
                <w:sz w:val="18"/>
                <w:szCs w:val="18"/>
              </w:rPr>
            </w:pPr>
            <w:r w:rsidRPr="00083075">
              <w:rPr>
                <w:sz w:val="18"/>
                <w:szCs w:val="18"/>
              </w:rPr>
              <w:t>NOTE 1:</w:t>
            </w:r>
            <w:r w:rsidRPr="00083075">
              <w:rPr>
                <w:sz w:val="18"/>
                <w:szCs w:val="18"/>
              </w:rPr>
              <w:tab/>
              <w:t>Providing additional ULI needs further coordination with RAN WG and further updates may apply.</w:t>
            </w:r>
          </w:p>
          <w:p w14:paraId="519A79A7" w14:textId="77777777" w:rsidR="00083075" w:rsidRPr="00083075" w:rsidRDefault="00083075" w:rsidP="00083075">
            <w:pPr>
              <w:pStyle w:val="B1"/>
              <w:ind w:left="284"/>
              <w:rPr>
                <w:sz w:val="18"/>
                <w:szCs w:val="18"/>
              </w:rPr>
            </w:pPr>
            <w:r w:rsidRPr="00083075">
              <w:rPr>
                <w:sz w:val="18"/>
                <w:szCs w:val="18"/>
              </w:rPr>
              <w:t>-</w:t>
            </w:r>
            <w:r w:rsidRPr="00083075">
              <w:rPr>
                <w:sz w:val="18"/>
                <w:szCs w:val="18"/>
              </w:rPr>
              <w:tab/>
              <w:t>The Solution#9 is recommended for normative specifications as basis for providing serving cell ID/TAC of mobile base station relay to the AMF serving the UE.</w:t>
            </w:r>
          </w:p>
          <w:p w14:paraId="58D2323A" w14:textId="2E39CE04" w:rsidR="00F9580C" w:rsidRPr="00700394" w:rsidRDefault="00083075" w:rsidP="00083075">
            <w:pPr>
              <w:pStyle w:val="B1"/>
              <w:rPr>
                <w:sz w:val="18"/>
                <w:szCs w:val="18"/>
              </w:rPr>
            </w:pPr>
            <w:r w:rsidRPr="00083075">
              <w:rPr>
                <w:sz w:val="18"/>
                <w:szCs w:val="18"/>
              </w:rPr>
              <w:t>NOTE 2:</w:t>
            </w:r>
            <w:r w:rsidRPr="00083075">
              <w:rPr>
                <w:sz w:val="18"/>
                <w:szCs w:val="18"/>
              </w:rPr>
              <w:tab/>
            </w:r>
            <w:r w:rsidRPr="00083075">
              <w:rPr>
                <w:sz w:val="18"/>
                <w:szCs w:val="18"/>
                <w:highlight w:val="yellow"/>
              </w:rPr>
              <w:t>For the case that IAB-UE and IAB-DU are connected to different IAB-donors, the details are subject to RAN WGs, and will be coordinated with RAN WGs</w:t>
            </w:r>
            <w:r w:rsidRPr="00083075">
              <w:rPr>
                <w:sz w:val="18"/>
                <w:szCs w:val="18"/>
              </w:rPr>
              <w:t>.</w:t>
            </w:r>
          </w:p>
        </w:tc>
        <w:tc>
          <w:tcPr>
            <w:tcW w:w="2235" w:type="dxa"/>
            <w:tcBorders>
              <w:top w:val="single" w:sz="4" w:space="0" w:color="auto"/>
              <w:left w:val="single" w:sz="4" w:space="0" w:color="auto"/>
              <w:bottom w:val="single" w:sz="4" w:space="0" w:color="auto"/>
              <w:right w:val="single" w:sz="4" w:space="0" w:color="auto"/>
            </w:tcBorders>
            <w:hideMark/>
          </w:tcPr>
          <w:p w14:paraId="4DDC39C3" w14:textId="5A4AA5E2" w:rsidR="00083075" w:rsidRDefault="00083075" w:rsidP="00506B54">
            <w:pPr>
              <w:pStyle w:val="TAL"/>
              <w:rPr>
                <w:rFonts w:ascii="Times New Roman" w:hAnsi="Times New Roman"/>
                <w:szCs w:val="18"/>
                <w:lang w:eastAsia="ja-JP"/>
              </w:rPr>
            </w:pPr>
            <w:r>
              <w:rPr>
                <w:rFonts w:ascii="Times New Roman" w:hAnsi="Times New Roman"/>
                <w:szCs w:val="18"/>
                <w:lang w:eastAsia="ja-JP"/>
              </w:rPr>
              <w:t>- How to provide additional ULI to the UE AMF?</w:t>
            </w:r>
            <w:r w:rsidR="00506B54">
              <w:rPr>
                <w:rFonts w:ascii="Times New Roman" w:hAnsi="Times New Roman"/>
                <w:szCs w:val="18"/>
                <w:lang w:eastAsia="ja-JP"/>
              </w:rPr>
              <w:t xml:space="preserve">  May have NG impact</w:t>
            </w:r>
          </w:p>
          <w:p w14:paraId="317CA357" w14:textId="62933A15" w:rsidR="00F9580C" w:rsidRDefault="00083075" w:rsidP="00506B54">
            <w:pPr>
              <w:pStyle w:val="TAL"/>
              <w:rPr>
                <w:rFonts w:ascii="Times New Roman" w:hAnsi="Times New Roman"/>
                <w:szCs w:val="18"/>
                <w:lang w:eastAsia="zh-CN"/>
              </w:rPr>
            </w:pPr>
            <w:r>
              <w:rPr>
                <w:rFonts w:ascii="Times New Roman" w:hAnsi="Times New Roman"/>
                <w:szCs w:val="18"/>
                <w:lang w:eastAsia="ja-JP"/>
              </w:rPr>
              <w:t xml:space="preserve">- how the donor-CU of </w:t>
            </w:r>
            <w:proofErr w:type="spellStart"/>
            <w:r>
              <w:rPr>
                <w:rFonts w:ascii="Times New Roman" w:hAnsi="Times New Roman"/>
                <w:szCs w:val="18"/>
                <w:lang w:eastAsia="ja-JP"/>
              </w:rPr>
              <w:t>mIAB</w:t>
            </w:r>
            <w:proofErr w:type="spellEnd"/>
            <w:r>
              <w:rPr>
                <w:rFonts w:ascii="Times New Roman" w:hAnsi="Times New Roman"/>
                <w:szCs w:val="18"/>
                <w:lang w:eastAsia="ja-JP"/>
              </w:rPr>
              <w:t>-DU obtain</w:t>
            </w:r>
            <w:r w:rsidR="00E41B00">
              <w:rPr>
                <w:rFonts w:ascii="Times New Roman" w:hAnsi="Times New Roman"/>
                <w:szCs w:val="18"/>
                <w:lang w:eastAsia="ja-JP"/>
              </w:rPr>
              <w:t xml:space="preserve"> IAB-MT’s ULI</w:t>
            </w:r>
            <w:r>
              <w:rPr>
                <w:rFonts w:ascii="Times New Roman" w:hAnsi="Times New Roman"/>
                <w:szCs w:val="18"/>
                <w:lang w:eastAsia="ja-JP"/>
              </w:rPr>
              <w:t xml:space="preserve"> for the case that IAB-MT and IAB-DU are connected to different IAB-donor-CUs, this may have </w:t>
            </w:r>
            <w:proofErr w:type="spellStart"/>
            <w:r>
              <w:rPr>
                <w:rFonts w:ascii="Times New Roman" w:hAnsi="Times New Roman"/>
                <w:szCs w:val="18"/>
                <w:lang w:eastAsia="ja-JP"/>
              </w:rPr>
              <w:t>XnAP</w:t>
            </w:r>
            <w:proofErr w:type="spellEnd"/>
            <w:r>
              <w:rPr>
                <w:rFonts w:ascii="Times New Roman" w:hAnsi="Times New Roman"/>
                <w:szCs w:val="18"/>
                <w:lang w:eastAsia="ja-JP"/>
              </w:rPr>
              <w:t xml:space="preserve"> impact</w:t>
            </w:r>
          </w:p>
          <w:p w14:paraId="15930CE3" w14:textId="77777777" w:rsidR="00F9580C" w:rsidRDefault="00F9580C" w:rsidP="00506B54">
            <w:pPr>
              <w:pStyle w:val="TAL"/>
              <w:rPr>
                <w:rFonts w:ascii="Times New Roman" w:hAnsi="Times New Roman"/>
                <w:szCs w:val="18"/>
                <w:lang w:eastAsia="zh-CN"/>
              </w:rPr>
            </w:pPr>
          </w:p>
          <w:p w14:paraId="3BE988D1" w14:textId="77777777" w:rsidR="00F9580C" w:rsidRPr="00BA57EA" w:rsidRDefault="00F9580C" w:rsidP="007F437C">
            <w:pPr>
              <w:pStyle w:val="TAL"/>
              <w:rPr>
                <w:rFonts w:ascii="Times New Roman" w:hAnsi="Times New Roman"/>
                <w:szCs w:val="18"/>
                <w:lang w:eastAsia="ja-JP"/>
              </w:rPr>
            </w:pPr>
          </w:p>
        </w:tc>
      </w:tr>
    </w:tbl>
    <w:p w14:paraId="28765318" w14:textId="77777777" w:rsidR="00F9580C" w:rsidRDefault="00F9580C" w:rsidP="004E6C01"/>
    <w:p w14:paraId="590B3821" w14:textId="186801AA" w:rsidR="00676E33" w:rsidRPr="00A2521A" w:rsidRDefault="00676E33" w:rsidP="004E6C01">
      <w:pPr>
        <w:rPr>
          <w:b/>
          <w:sz w:val="22"/>
        </w:rPr>
      </w:pPr>
      <w:r w:rsidRPr="00A2521A">
        <w:rPr>
          <w:b/>
          <w:sz w:val="22"/>
          <w:szCs w:val="21"/>
        </w:rPr>
        <w:t xml:space="preserve">Proposal </w:t>
      </w:r>
      <w:r w:rsidR="00CB7416">
        <w:rPr>
          <w:b/>
          <w:sz w:val="22"/>
          <w:szCs w:val="21"/>
        </w:rPr>
        <w:t>7</w:t>
      </w:r>
      <w:r w:rsidRPr="00A2521A">
        <w:rPr>
          <w:b/>
          <w:sz w:val="22"/>
          <w:szCs w:val="21"/>
        </w:rPr>
        <w:t>, RAN3 discuss how to provide the additional ULI</w:t>
      </w:r>
      <w:r w:rsidR="00506B54" w:rsidRPr="00A2521A">
        <w:rPr>
          <w:b/>
          <w:sz w:val="22"/>
          <w:szCs w:val="21"/>
        </w:rPr>
        <w:t xml:space="preserve"> of the UE served by mobile IAB.</w:t>
      </w:r>
    </w:p>
    <w:p w14:paraId="20B82249" w14:textId="554CC2DB" w:rsidR="009E7A89" w:rsidRPr="00A2521A" w:rsidRDefault="009E7A89" w:rsidP="004E6C01">
      <w:pPr>
        <w:rPr>
          <w:b/>
          <w:sz w:val="22"/>
        </w:rPr>
      </w:pPr>
      <w:r w:rsidRPr="00A2521A">
        <w:rPr>
          <w:b/>
          <w:sz w:val="22"/>
        </w:rPr>
        <w:t>Proposal</w:t>
      </w:r>
      <w:r w:rsidR="00CB7416">
        <w:rPr>
          <w:b/>
          <w:sz w:val="22"/>
        </w:rPr>
        <w:t xml:space="preserve"> 8</w:t>
      </w:r>
      <w:r w:rsidRPr="00A2521A">
        <w:rPr>
          <w:b/>
          <w:sz w:val="22"/>
        </w:rPr>
        <w:t>, RAN3 agree that IAB-MT’s serving IAB-donor-CU provide the ULI of IAB-MT to IAB-DU’s serving IAB-donor-CU.</w:t>
      </w:r>
    </w:p>
    <w:p w14:paraId="0EF05D1E" w14:textId="23B635B0" w:rsidR="009E7A89" w:rsidRPr="00A2521A" w:rsidRDefault="009E7A89" w:rsidP="004E6C01">
      <w:pPr>
        <w:rPr>
          <w:b/>
          <w:sz w:val="22"/>
        </w:rPr>
      </w:pPr>
      <w:r w:rsidRPr="00A2521A">
        <w:rPr>
          <w:b/>
          <w:sz w:val="22"/>
        </w:rPr>
        <w:t>Proposal</w:t>
      </w:r>
      <w:r w:rsidR="00CB7416">
        <w:rPr>
          <w:b/>
          <w:sz w:val="22"/>
        </w:rPr>
        <w:t xml:space="preserve"> 9</w:t>
      </w:r>
      <w:r w:rsidRPr="00A2521A">
        <w:rPr>
          <w:b/>
          <w:sz w:val="22"/>
        </w:rPr>
        <w:t xml:space="preserve">, </w:t>
      </w:r>
      <w:r w:rsidR="00506B54" w:rsidRPr="00A2521A">
        <w:rPr>
          <w:b/>
          <w:sz w:val="22"/>
        </w:rPr>
        <w:t>RAN3 answers SA2 the solution agreed by RAN3 if any or discussion status.</w:t>
      </w:r>
    </w:p>
    <w:p w14:paraId="225DB601" w14:textId="2A177B22" w:rsidR="0011641F" w:rsidRDefault="0011641F" w:rsidP="0011641F">
      <w:pPr>
        <w:pStyle w:val="2"/>
      </w:pPr>
      <w:r>
        <w:t>2.6</w:t>
      </w:r>
      <w:r>
        <w:tab/>
      </w:r>
      <w:r w:rsidR="009F2175">
        <w:t xml:space="preserve">Key issue#7 </w:t>
      </w:r>
      <w:r w:rsidR="00101E3F">
        <w:rPr>
          <w:i/>
        </w:rPr>
        <w:t>CAG function</w:t>
      </w:r>
      <w:r w:rsidR="00101E3F">
        <w:rPr>
          <w:i/>
        </w:rPr>
        <w:tab/>
      </w:r>
    </w:p>
    <w:p w14:paraId="36FDC09D" w14:textId="77777777" w:rsidR="0031027D" w:rsidRPr="006A7FE7" w:rsidRDefault="0031027D" w:rsidP="0031027D">
      <w:pPr>
        <w:rPr>
          <w:i/>
          <w:color w:val="0000FF"/>
        </w:rPr>
      </w:pPr>
      <w:r w:rsidRPr="006A7FE7">
        <w:rPr>
          <w:i/>
          <w:color w:val="0000FF"/>
        </w:rPr>
        <w:t xml:space="preserve">Additionally, SA2 would like to further inform that SA2 has reached conclusions for KI#7 in SA2 study related to control of UE access to MBSR using CAG function. See more detailed text in clause 8.7 of the latest TR 23.700-05v1.2.0.  </w:t>
      </w:r>
    </w:p>
    <w:p w14:paraId="7477E79F" w14:textId="271F9940" w:rsidR="0031027D" w:rsidRPr="00A2521A" w:rsidRDefault="0031027D" w:rsidP="00101E3F">
      <w:pPr>
        <w:rPr>
          <w:sz w:val="22"/>
          <w:lang w:eastAsia="zh-CN"/>
        </w:rPr>
      </w:pPr>
      <w:bookmarkStart w:id="4" w:name="_Hlk127439281"/>
      <w:r w:rsidRPr="00A2521A">
        <w:rPr>
          <w:sz w:val="22"/>
        </w:rPr>
        <w:t>As mentioned in the LS</w:t>
      </w:r>
      <w:r w:rsidR="00A2521A" w:rsidRPr="00A2521A">
        <w:rPr>
          <w:sz w:val="22"/>
        </w:rPr>
        <w:t xml:space="preserve"> [1]</w:t>
      </w:r>
      <w:r w:rsidRPr="00A2521A">
        <w:rPr>
          <w:rFonts w:hint="eastAsia"/>
          <w:sz w:val="22"/>
          <w:lang w:eastAsia="zh-CN"/>
        </w:rPr>
        <w:t>,</w:t>
      </w:r>
      <w:r w:rsidRPr="00A2521A">
        <w:rPr>
          <w:sz w:val="22"/>
          <w:lang w:eastAsia="zh-CN"/>
        </w:rPr>
        <w:t xml:space="preserve"> SA2 agrees that CAG function can be used for UE access control, and currently there’s no additional work from RAN3 perspective, but RAN3 can revisit the solutions according to RAN2 and SA2’s discussion.</w:t>
      </w:r>
    </w:p>
    <w:p w14:paraId="35A435AC" w14:textId="518A2E36" w:rsidR="008B6F48" w:rsidRPr="00A2521A" w:rsidRDefault="0031027D" w:rsidP="00101E3F">
      <w:pPr>
        <w:rPr>
          <w:sz w:val="22"/>
        </w:rPr>
      </w:pPr>
      <w:r w:rsidRPr="00A2521A">
        <w:rPr>
          <w:sz w:val="22"/>
        </w:rPr>
        <w:t xml:space="preserve">Although the Key issue#7 may have no RAN3 impacts at current stage, the conclusion of SA2 may help RAN3’s discussion on onboard UE identification. As we know that the CAG identifier </w:t>
      </w:r>
      <w:r w:rsidR="00B178F7" w:rsidRPr="00A2521A">
        <w:rPr>
          <w:sz w:val="22"/>
        </w:rPr>
        <w:t>can be</w:t>
      </w:r>
      <w:r w:rsidRPr="00A2521A">
        <w:rPr>
          <w:sz w:val="22"/>
        </w:rPr>
        <w:t xml:space="preserve"> readable to UE, and UE can select the CAG ID </w:t>
      </w:r>
      <w:r w:rsidR="008B6F48" w:rsidRPr="00A2521A">
        <w:rPr>
          <w:sz w:val="22"/>
        </w:rPr>
        <w:t xml:space="preserve">manually. For example, if a mobile IAB </w:t>
      </w:r>
      <w:r w:rsidR="00CB7416">
        <w:rPr>
          <w:sz w:val="22"/>
        </w:rPr>
        <w:t xml:space="preserve">is </w:t>
      </w:r>
      <w:r w:rsidR="008B6F48" w:rsidRPr="00A2521A">
        <w:rPr>
          <w:sz w:val="22"/>
        </w:rPr>
        <w:t xml:space="preserve">deployed in bus#1, the human-readable CAG ID can be set to “bus#1”, if a </w:t>
      </w:r>
      <w:r w:rsidR="00AB1260" w:rsidRPr="00A2521A">
        <w:rPr>
          <w:sz w:val="22"/>
        </w:rPr>
        <w:t>user</w:t>
      </w:r>
      <w:r w:rsidR="008B6F48" w:rsidRPr="00A2521A">
        <w:rPr>
          <w:sz w:val="22"/>
        </w:rPr>
        <w:t xml:space="preserve"> </w:t>
      </w:r>
      <w:r w:rsidR="00AB1260" w:rsidRPr="00A2521A">
        <w:rPr>
          <w:sz w:val="22"/>
        </w:rPr>
        <w:t xml:space="preserve">gets in bus#1, the readable CAG ID can be shown on its cell phone, the user can select “bus#1” to have a better connection service, and the IAB-donor-CU as </w:t>
      </w:r>
      <w:r w:rsidR="00AB1260" w:rsidRPr="00A2521A">
        <w:rPr>
          <w:sz w:val="22"/>
        </w:rPr>
        <w:lastRenderedPageBreak/>
        <w:t xml:space="preserve">serving </w:t>
      </w:r>
      <w:proofErr w:type="spellStart"/>
      <w:r w:rsidR="00AB1260" w:rsidRPr="00A2521A">
        <w:rPr>
          <w:sz w:val="22"/>
        </w:rPr>
        <w:t>gNB</w:t>
      </w:r>
      <w:proofErr w:type="spellEnd"/>
      <w:r w:rsidR="00AB1260" w:rsidRPr="00A2521A">
        <w:rPr>
          <w:sz w:val="22"/>
        </w:rPr>
        <w:t xml:space="preserve"> of the UE can know that UE select</w:t>
      </w:r>
      <w:r w:rsidR="00CB7416">
        <w:rPr>
          <w:sz w:val="22"/>
        </w:rPr>
        <w:t>s</w:t>
      </w:r>
      <w:r w:rsidR="00AB1260" w:rsidRPr="00A2521A">
        <w:rPr>
          <w:sz w:val="22"/>
        </w:rPr>
        <w:t xml:space="preserve"> this </w:t>
      </w:r>
      <w:r w:rsidR="00AB1260" w:rsidRPr="00A2521A">
        <w:rPr>
          <w:noProof/>
          <w:sz w:val="22"/>
        </w:rPr>
        <mc:AlternateContent>
          <mc:Choice Requires="wps">
            <w:drawing>
              <wp:anchor distT="0" distB="0" distL="114300" distR="114300" simplePos="0" relativeHeight="251659264" behindDoc="1" locked="0" layoutInCell="1" allowOverlap="1" wp14:anchorId="3ED79AAE" wp14:editId="468BF934">
                <wp:simplePos x="0" y="0"/>
                <wp:positionH relativeFrom="column">
                  <wp:posOffset>0</wp:posOffset>
                </wp:positionH>
                <wp:positionV relativeFrom="paragraph">
                  <wp:posOffset>526567</wp:posOffset>
                </wp:positionV>
                <wp:extent cx="5949387" cy="1869312"/>
                <wp:effectExtent l="0" t="0" r="13335" b="17145"/>
                <wp:wrapTopAndBottom/>
                <wp:docPr id="1" name="文本框 1"/>
                <wp:cNvGraphicFramePr/>
                <a:graphic xmlns:a="http://schemas.openxmlformats.org/drawingml/2006/main">
                  <a:graphicData uri="http://schemas.microsoft.com/office/word/2010/wordprocessingShape">
                    <wps:wsp>
                      <wps:cNvSpPr txBox="1"/>
                      <wps:spPr>
                        <a:xfrm>
                          <a:off x="0" y="0"/>
                          <a:ext cx="5949387" cy="1869312"/>
                        </a:xfrm>
                        <a:prstGeom prst="rect">
                          <a:avLst/>
                        </a:prstGeom>
                        <a:solidFill>
                          <a:schemeClr val="lt1"/>
                        </a:solidFill>
                        <a:ln w="6350">
                          <a:solidFill>
                            <a:prstClr val="black"/>
                          </a:solidFill>
                        </a:ln>
                      </wps:spPr>
                      <wps:txbx>
                        <w:txbxContent>
                          <w:p w14:paraId="457A3D5D" w14:textId="77777777" w:rsidR="008B6F48" w:rsidRPr="001B7C50" w:rsidRDefault="008B6F48" w:rsidP="008B6F48">
                            <w:r w:rsidRPr="001B7C50">
                              <w:t>The following is required for identification:</w:t>
                            </w:r>
                          </w:p>
                          <w:p w14:paraId="7D90E2E3" w14:textId="77777777" w:rsidR="008B6F48" w:rsidRPr="001B7C50" w:rsidRDefault="008B6F48" w:rsidP="008B6F48">
                            <w:pPr>
                              <w:pStyle w:val="B1"/>
                            </w:pPr>
                            <w:r w:rsidRPr="001B7C50">
                              <w:t>-</w:t>
                            </w:r>
                            <w:r w:rsidRPr="001B7C50">
                              <w:tab/>
                              <w:t>A CAG is identified by a CAG Identifier which is unique within the scope of a PLMN ID;</w:t>
                            </w:r>
                          </w:p>
                          <w:p w14:paraId="3A5D10F5" w14:textId="77777777" w:rsidR="008B6F48" w:rsidRPr="001B7C50" w:rsidRDefault="008B6F48" w:rsidP="008B6F48">
                            <w:pPr>
                              <w:pStyle w:val="B1"/>
                            </w:pPr>
                            <w:r w:rsidRPr="001B7C50">
                              <w:t>-</w:t>
                            </w:r>
                            <w:r w:rsidRPr="001B7C50">
                              <w:tab/>
                              <w:t>A CAG cell broadcasts one or multiple CAG Identifiers per PLMN;</w:t>
                            </w:r>
                          </w:p>
                          <w:p w14:paraId="1F604F76" w14:textId="77777777" w:rsidR="008B6F48" w:rsidRPr="001B7C50" w:rsidRDefault="008B6F48" w:rsidP="008B6F48">
                            <w:pPr>
                              <w:pStyle w:val="NO"/>
                            </w:pPr>
                            <w:r w:rsidRPr="001B7C50">
                              <w:t>NOTE 1:</w:t>
                            </w:r>
                            <w:r w:rsidRPr="001B7C50">
                              <w:tab/>
                              <w:t>It is assumed that a cell supports broadcasting a total of twelve CAG Identifiers. Further details are defined in TS 38.331 [28].</w:t>
                            </w:r>
                          </w:p>
                          <w:p w14:paraId="4CD52E25" w14:textId="77777777" w:rsidR="008B6F48" w:rsidRPr="001B7C50" w:rsidRDefault="008B6F48" w:rsidP="008B6F48">
                            <w:pPr>
                              <w:pStyle w:val="B1"/>
                            </w:pPr>
                            <w:r w:rsidRPr="00AB1260">
                              <w:rPr>
                                <w:highlight w:val="yellow"/>
                              </w:rPr>
                              <w:t>-</w:t>
                            </w:r>
                            <w:r w:rsidRPr="00AB1260">
                              <w:rPr>
                                <w:highlight w:val="yellow"/>
                              </w:rPr>
                              <w:tab/>
                              <w:t>A CAG cell may in addition broadcast a human-readable network name per CAG Identifier</w:t>
                            </w:r>
                            <w:r w:rsidRPr="001B7C50">
                              <w:t>:</w:t>
                            </w:r>
                          </w:p>
                          <w:p w14:paraId="295817D6" w14:textId="77777777" w:rsidR="008B6F48" w:rsidRPr="001B7C50" w:rsidRDefault="008B6F48" w:rsidP="008B6F48">
                            <w:pPr>
                              <w:pStyle w:val="NO"/>
                            </w:pPr>
                            <w:r w:rsidRPr="001B7C50">
                              <w:t>NOTE 2:</w:t>
                            </w:r>
                            <w:r w:rsidRPr="001B7C50">
                              <w:tab/>
                            </w:r>
                            <w:r w:rsidRPr="008B6F48">
                              <w:rPr>
                                <w:highlight w:val="yellow"/>
                              </w:rPr>
                              <w:t>The human-readable network name per CAG Identifier</w:t>
                            </w:r>
                            <w:r w:rsidRPr="001B7C50">
                              <w:t xml:space="preserve"> is only used for presentation to user when user requests a manual CAG selection.</w:t>
                            </w:r>
                          </w:p>
                          <w:p w14:paraId="339730C7" w14:textId="77777777" w:rsidR="008B6F48" w:rsidRDefault="008B6F48" w:rsidP="008B6F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ED79AAE" id="_x0000_t202" coordsize="21600,21600" o:spt="202" path="m,l,21600r21600,l21600,xe">
                <v:stroke joinstyle="miter"/>
                <v:path gradientshapeok="t" o:connecttype="rect"/>
              </v:shapetype>
              <v:shape id="文本框 1" o:spid="_x0000_s1026" type="#_x0000_t202" style="position:absolute;margin-left:0;margin-top:41.45pt;width:468.45pt;height:147.2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4DAXQIAAKMEAAAOAAAAZHJzL2Uyb0RvYy54bWysVEtu2zAQ3RfoHQjua/kfW7AcuA5cFDCS&#10;AE6RNU1RtlCKw5K0JfcAzQ266qb7nsvn6JCSHSftquiGGnIeH2fezGhyXRWS7IWxOaiEdlptSoTi&#10;kOZqk9BPD4t3I0qsYyplEpRI6EFYej19+2ZS6lh0YQsyFYYgibJxqRO6dU7HUWT5VhTMtkALhc4M&#10;TMEcbs0mSg0rkb2QUbfdHkYlmFQb4MJaPL2pnXQa+LNMcHeXZVY4IhOKsbmwmrCu/RpNJyzeGKa3&#10;OW/CYP8QRcFyhY+eqW6YY2Rn8j+oipwbsJC5FocigizLuQg5YDad9qtsVlumRcgFxbH6LJP9f7T8&#10;dn9vSJ5i7ShRrMASHb8/HX/8Ov78RjpenlLbGFErjThXvYfKQ5tzi4c+6yozhf9iPgT9KPThLK6o&#10;HOF4OBj3x73RFSUcfZ3RcNzrdD1P9HxdG+s+CCiINxJqsHpBVLZfWldDTxD/mgWZp4tcyrDxHSPm&#10;0pA9w1pLF4JE8hcoqUiZ0GFv0A7EL3ye+nx/LRn/3IR3gUI+qTBmL0qdvLdcta4aRdaQHlAoA3Wn&#10;Wc0XOfIumXX3zGBroTY4Lu4Ol0wCBgONRckWzNe/nXs8Vhy9lJTYqgm1X3bMCErkR4W9MO70+763&#10;w6Y/uOrixlx61pcetSvmgAphvTG6YHq8kyczM1A84lTN/KvoYorj2wl1J3Pu6gHCqeRiNgsg7GbN&#10;3FKtNPfUviJez4fqkRnd1NNhK9zCqalZ/KqsNdbfVDDbOcjyUHMvcK1qoztOQuiaZmr9qF3uA+r5&#10;3zL9DQAA//8DAFBLAwQUAAYACAAAACEAM/VOqNwAAAAHAQAADwAAAGRycy9kb3ducmV2LnhtbEyP&#10;wU7DMBBE70j8g7WVuFGnjdQmIZsKUOHCiRZxduOtbRHbke2m4e8xJ7jtaEYzb9vdbAc2UYjGO4TV&#10;sgBGrvfSOIXwcXy5r4DFJJwUg3eE8E0Rdt3tTSsa6a/unaZDUiyXuNgIBJ3S2HAee01WxKUfyWXv&#10;7IMVKcuguAzimsvtwNdFseFWGJcXtBjpWVP/dbhYhP2TqlVfiaD3lTRmmj/Pb+oV8W4xPz4ASzSn&#10;vzD84md06DLTyV+cjGxAyI8khGpdA8tuXW7ycUIot9sSeNfy//zdDwAAAP//AwBQSwECLQAUAAYA&#10;CAAAACEAtoM4kv4AAADhAQAAEwAAAAAAAAAAAAAAAAAAAAAAW0NvbnRlbnRfVHlwZXNdLnhtbFBL&#10;AQItABQABgAIAAAAIQA4/SH/1gAAAJQBAAALAAAAAAAAAAAAAAAAAC8BAABfcmVscy8ucmVsc1BL&#10;AQItABQABgAIAAAAIQDFh4DAXQIAAKMEAAAOAAAAAAAAAAAAAAAAAC4CAABkcnMvZTJvRG9jLnht&#10;bFBLAQItABQABgAIAAAAIQAz9U6o3AAAAAcBAAAPAAAAAAAAAAAAAAAAALcEAABkcnMvZG93bnJl&#10;di54bWxQSwUGAAAAAAQABADzAAAAwAUAAAAA&#10;" fillcolor="white [3201]" strokeweight=".5pt">
                <v:textbox>
                  <w:txbxContent>
                    <w:p w14:paraId="457A3D5D" w14:textId="77777777" w:rsidR="008B6F48" w:rsidRPr="001B7C50" w:rsidRDefault="008B6F48" w:rsidP="008B6F48">
                      <w:r w:rsidRPr="001B7C50">
                        <w:t>The following is required for identification:</w:t>
                      </w:r>
                    </w:p>
                    <w:p w14:paraId="7D90E2E3" w14:textId="77777777" w:rsidR="008B6F48" w:rsidRPr="001B7C50" w:rsidRDefault="008B6F48" w:rsidP="008B6F48">
                      <w:pPr>
                        <w:pStyle w:val="B1"/>
                      </w:pPr>
                      <w:r w:rsidRPr="001B7C50">
                        <w:t>-</w:t>
                      </w:r>
                      <w:r w:rsidRPr="001B7C50">
                        <w:tab/>
                        <w:t>A CAG is identified by a CAG Identifier which is unique within the scope of a PLMN ID;</w:t>
                      </w:r>
                    </w:p>
                    <w:p w14:paraId="3A5D10F5" w14:textId="77777777" w:rsidR="008B6F48" w:rsidRPr="001B7C50" w:rsidRDefault="008B6F48" w:rsidP="008B6F48">
                      <w:pPr>
                        <w:pStyle w:val="B1"/>
                      </w:pPr>
                      <w:r w:rsidRPr="001B7C50">
                        <w:t>-</w:t>
                      </w:r>
                      <w:r w:rsidRPr="001B7C50">
                        <w:tab/>
                        <w:t>A CAG cell broadcasts one or multiple CAG Identifiers per PLMN;</w:t>
                      </w:r>
                    </w:p>
                    <w:p w14:paraId="1F604F76" w14:textId="77777777" w:rsidR="008B6F48" w:rsidRPr="001B7C50" w:rsidRDefault="008B6F48" w:rsidP="008B6F48">
                      <w:pPr>
                        <w:pStyle w:val="NO"/>
                      </w:pPr>
                      <w:r w:rsidRPr="001B7C50">
                        <w:t>NOTE 1:</w:t>
                      </w:r>
                      <w:r w:rsidRPr="001B7C50">
                        <w:tab/>
                        <w:t>It is assumed that a cell supports broadcasting a total of twelve CAG Identifiers. Further details are defined in TS 38.331 [28].</w:t>
                      </w:r>
                    </w:p>
                    <w:p w14:paraId="4CD52E25" w14:textId="77777777" w:rsidR="008B6F48" w:rsidRPr="001B7C50" w:rsidRDefault="008B6F48" w:rsidP="008B6F48">
                      <w:pPr>
                        <w:pStyle w:val="B1"/>
                      </w:pPr>
                      <w:r w:rsidRPr="00AB1260">
                        <w:rPr>
                          <w:highlight w:val="yellow"/>
                        </w:rPr>
                        <w:t>-</w:t>
                      </w:r>
                      <w:r w:rsidRPr="00AB1260">
                        <w:rPr>
                          <w:highlight w:val="yellow"/>
                        </w:rPr>
                        <w:tab/>
                        <w:t>A CAG cell may in addition broadcast a human-readable network name per CAG Identifier</w:t>
                      </w:r>
                      <w:r w:rsidRPr="001B7C50">
                        <w:t>:</w:t>
                      </w:r>
                    </w:p>
                    <w:p w14:paraId="295817D6" w14:textId="77777777" w:rsidR="008B6F48" w:rsidRPr="001B7C50" w:rsidRDefault="008B6F48" w:rsidP="008B6F48">
                      <w:pPr>
                        <w:pStyle w:val="NO"/>
                      </w:pPr>
                      <w:r w:rsidRPr="001B7C50">
                        <w:t>NOTE 2:</w:t>
                      </w:r>
                      <w:r w:rsidRPr="001B7C50">
                        <w:tab/>
                      </w:r>
                      <w:r w:rsidRPr="008B6F48">
                        <w:rPr>
                          <w:highlight w:val="yellow"/>
                        </w:rPr>
                        <w:t>The human-readable network name per CAG Identifier</w:t>
                      </w:r>
                      <w:r w:rsidRPr="001B7C50">
                        <w:t xml:space="preserve"> is only used for presentation to user when user requests a manual CAG selection.</w:t>
                      </w:r>
                    </w:p>
                    <w:p w14:paraId="339730C7" w14:textId="77777777" w:rsidR="008B6F48" w:rsidRDefault="008B6F48" w:rsidP="008B6F48"/>
                  </w:txbxContent>
                </v:textbox>
                <w10:wrap type="topAndBottom"/>
              </v:shape>
            </w:pict>
          </mc:Fallback>
        </mc:AlternateContent>
      </w:r>
      <w:r w:rsidR="00AB1260" w:rsidRPr="00A2521A">
        <w:rPr>
          <w:sz w:val="22"/>
        </w:rPr>
        <w:t>“bus#1” CAG cell, which indicates that UE is onboard UE.</w:t>
      </w:r>
    </w:p>
    <w:bookmarkEnd w:id="4"/>
    <w:p w14:paraId="2C9CFB5E" w14:textId="735B6FD9" w:rsidR="00101E3F" w:rsidRDefault="00101E3F" w:rsidP="00101E3F"/>
    <w:p w14:paraId="2638E102" w14:textId="4BF6EC41" w:rsidR="00506B54" w:rsidRPr="00CB7416" w:rsidRDefault="00CB7416" w:rsidP="00101E3F">
      <w:pPr>
        <w:rPr>
          <w:sz w:val="22"/>
        </w:rPr>
      </w:pPr>
      <w:r w:rsidRPr="00CB7416">
        <w:rPr>
          <w:sz w:val="22"/>
        </w:rPr>
        <w:t>And below is the summary for KI#7</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228"/>
        <w:gridCol w:w="2235"/>
      </w:tblGrid>
      <w:tr w:rsidR="00506B54" w:rsidRPr="003F72F0" w14:paraId="0B362D03" w14:textId="77777777" w:rsidTr="00506B54">
        <w:trPr>
          <w:trHeight w:val="261"/>
        </w:trPr>
        <w:tc>
          <w:tcPr>
            <w:tcW w:w="1838" w:type="dxa"/>
            <w:tcBorders>
              <w:top w:val="single" w:sz="4" w:space="0" w:color="auto"/>
              <w:left w:val="single" w:sz="4" w:space="0" w:color="auto"/>
              <w:bottom w:val="single" w:sz="4" w:space="0" w:color="auto"/>
              <w:right w:val="single" w:sz="4" w:space="0" w:color="auto"/>
            </w:tcBorders>
            <w:vAlign w:val="center"/>
            <w:hideMark/>
          </w:tcPr>
          <w:p w14:paraId="7600B1EE" w14:textId="77777777" w:rsidR="00506B54" w:rsidRPr="003F72F0" w:rsidRDefault="00506B54" w:rsidP="00506B54">
            <w:pPr>
              <w:pStyle w:val="TAH"/>
              <w:rPr>
                <w:rFonts w:ascii="Times New Roman" w:hAnsi="Times New Roman"/>
                <w:sz w:val="20"/>
                <w:szCs w:val="18"/>
                <w:lang w:eastAsia="ja-JP"/>
              </w:rPr>
            </w:pPr>
            <w:r w:rsidRPr="003F72F0">
              <w:rPr>
                <w:rFonts w:ascii="Times New Roman" w:hAnsi="Times New Roman"/>
                <w:sz w:val="20"/>
                <w:szCs w:val="18"/>
                <w:lang w:eastAsia="ja-JP"/>
              </w:rPr>
              <w:t>SA2’s KI</w:t>
            </w:r>
          </w:p>
        </w:tc>
        <w:tc>
          <w:tcPr>
            <w:tcW w:w="5228" w:type="dxa"/>
            <w:tcBorders>
              <w:top w:val="single" w:sz="4" w:space="0" w:color="auto"/>
              <w:left w:val="single" w:sz="4" w:space="0" w:color="auto"/>
              <w:bottom w:val="single" w:sz="4" w:space="0" w:color="auto"/>
              <w:right w:val="single" w:sz="4" w:space="0" w:color="auto"/>
            </w:tcBorders>
            <w:vAlign w:val="center"/>
            <w:hideMark/>
          </w:tcPr>
          <w:p w14:paraId="13B6EF80" w14:textId="77777777" w:rsidR="00506B54" w:rsidRPr="003F72F0" w:rsidRDefault="00506B54" w:rsidP="00506B54">
            <w:pPr>
              <w:pStyle w:val="TAH"/>
              <w:rPr>
                <w:rFonts w:ascii="Times New Roman" w:hAnsi="Times New Roman"/>
                <w:sz w:val="20"/>
                <w:szCs w:val="18"/>
                <w:lang w:eastAsia="ja-JP"/>
              </w:rPr>
            </w:pPr>
            <w:r w:rsidRPr="003F72F0">
              <w:rPr>
                <w:rFonts w:ascii="Times New Roman" w:hAnsi="Times New Roman"/>
                <w:sz w:val="20"/>
                <w:szCs w:val="18"/>
                <w:lang w:eastAsia="ja-JP"/>
              </w:rPr>
              <w:t>SA2 conclusion related to RAN</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C0EB4AC" w14:textId="77777777" w:rsidR="00506B54" w:rsidRPr="003F72F0" w:rsidRDefault="00506B54" w:rsidP="00506B54">
            <w:pPr>
              <w:pStyle w:val="TAH"/>
              <w:rPr>
                <w:rFonts w:ascii="Times New Roman" w:hAnsi="Times New Roman"/>
                <w:sz w:val="20"/>
                <w:szCs w:val="18"/>
                <w:lang w:eastAsia="ja-JP"/>
              </w:rPr>
            </w:pPr>
            <w:r w:rsidRPr="003F72F0">
              <w:rPr>
                <w:rFonts w:ascii="Times New Roman" w:hAnsi="Times New Roman"/>
                <w:sz w:val="20"/>
                <w:szCs w:val="18"/>
                <w:lang w:eastAsia="ja-JP"/>
              </w:rPr>
              <w:t>RAN3’s work</w:t>
            </w:r>
          </w:p>
        </w:tc>
      </w:tr>
      <w:tr w:rsidR="00506B54" w:rsidRPr="00BA57EA" w14:paraId="77C78950" w14:textId="77777777" w:rsidTr="00506B54">
        <w:trPr>
          <w:trHeight w:val="1772"/>
        </w:trPr>
        <w:tc>
          <w:tcPr>
            <w:tcW w:w="1838" w:type="dxa"/>
            <w:tcBorders>
              <w:top w:val="single" w:sz="4" w:space="0" w:color="auto"/>
              <w:left w:val="single" w:sz="4" w:space="0" w:color="auto"/>
              <w:bottom w:val="single" w:sz="4" w:space="0" w:color="auto"/>
              <w:right w:val="single" w:sz="4" w:space="0" w:color="auto"/>
            </w:tcBorders>
            <w:hideMark/>
          </w:tcPr>
          <w:p w14:paraId="38698FC0" w14:textId="397F8C3A" w:rsidR="00506B54" w:rsidRPr="0042640A" w:rsidRDefault="0031027D" w:rsidP="00506B54">
            <w:pPr>
              <w:pStyle w:val="TAL"/>
              <w:rPr>
                <w:rFonts w:ascii="Times New Roman" w:hAnsi="Times New Roman"/>
                <w:bCs/>
                <w:iCs/>
                <w:szCs w:val="18"/>
                <w:lang w:eastAsia="ja-JP"/>
              </w:rPr>
            </w:pPr>
            <w:r w:rsidRPr="0031027D">
              <w:rPr>
                <w:rFonts w:ascii="Times New Roman" w:hAnsi="Times New Roman"/>
              </w:rPr>
              <w:t>Key Issue #7: Control of UE's access to 5GS via a mobile base station relay</w:t>
            </w:r>
          </w:p>
        </w:tc>
        <w:tc>
          <w:tcPr>
            <w:tcW w:w="5228" w:type="dxa"/>
            <w:tcBorders>
              <w:top w:val="single" w:sz="4" w:space="0" w:color="auto"/>
              <w:left w:val="single" w:sz="4" w:space="0" w:color="auto"/>
              <w:bottom w:val="single" w:sz="4" w:space="0" w:color="auto"/>
              <w:right w:val="single" w:sz="4" w:space="0" w:color="auto"/>
            </w:tcBorders>
            <w:hideMark/>
          </w:tcPr>
          <w:p w14:paraId="79FEB3C6" w14:textId="77777777" w:rsidR="00506B54" w:rsidRDefault="00506B54" w:rsidP="00506B54">
            <w:pPr>
              <w:pStyle w:val="B1"/>
              <w:ind w:left="284" w:firstLine="0"/>
              <w:rPr>
                <w:sz w:val="18"/>
                <w:szCs w:val="18"/>
              </w:rPr>
            </w:pPr>
            <w:r w:rsidRPr="00506B54">
              <w:rPr>
                <w:sz w:val="18"/>
                <w:szCs w:val="18"/>
                <w:highlight w:val="yellow"/>
              </w:rPr>
              <w:t>CAG Identifier is used to control the access of UE via MBSR</w:t>
            </w:r>
            <w:r w:rsidRPr="00506B54">
              <w:rPr>
                <w:sz w:val="18"/>
                <w:szCs w:val="18"/>
              </w:rPr>
              <w:t xml:space="preserve"> (i.e. mobile IAB-node) and existing CAG mechanism defined in clause 5.30.3 of TS 23.501 [2] can be used for managing UE's access to MBSR.</w:t>
            </w:r>
          </w:p>
          <w:p w14:paraId="2C3C738E" w14:textId="1D2ED22A" w:rsidR="00506B54" w:rsidRDefault="00506B54" w:rsidP="00506B54">
            <w:pPr>
              <w:pStyle w:val="B1"/>
              <w:ind w:left="284" w:firstLine="0"/>
              <w:rPr>
                <w:sz w:val="18"/>
                <w:szCs w:val="18"/>
              </w:rPr>
            </w:pPr>
            <w:r w:rsidRPr="00506B54">
              <w:rPr>
                <w:sz w:val="18"/>
                <w:szCs w:val="18"/>
              </w:rPr>
              <w:t>-</w:t>
            </w:r>
            <w:r w:rsidRPr="00506B54">
              <w:rPr>
                <w:sz w:val="18"/>
                <w:szCs w:val="18"/>
              </w:rPr>
              <w:tab/>
              <w:t>The AMF may verify whether UE access via MBSR is allowed by CAG Identifier and corresponding Extra information.</w:t>
            </w:r>
          </w:p>
          <w:p w14:paraId="0B1E82C9" w14:textId="515F1890" w:rsidR="00506B54" w:rsidRPr="00700394" w:rsidRDefault="00506B54" w:rsidP="00506B54">
            <w:pPr>
              <w:pStyle w:val="B1"/>
              <w:ind w:left="284" w:firstLine="0"/>
              <w:rPr>
                <w:sz w:val="18"/>
                <w:szCs w:val="18"/>
              </w:rPr>
            </w:pPr>
            <w:r w:rsidRPr="00506B54">
              <w:rPr>
                <w:sz w:val="18"/>
                <w:szCs w:val="18"/>
              </w:rPr>
              <w:t>NOTE 2:</w:t>
            </w:r>
            <w:r w:rsidRPr="00506B54">
              <w:rPr>
                <w:sz w:val="18"/>
                <w:szCs w:val="18"/>
              </w:rPr>
              <w:tab/>
              <w:t>Whether this Extra information needs to be provided to NG-RAN, e.g. to allow access control for transition from RRC Inactive to RRC Connected state and/or to determine the cells where paging will be performed (as described in clause 4.2.3.3 of TS 23.502 [5]) will be coordinated with RAN WGs in normative phase.</w:t>
            </w:r>
          </w:p>
        </w:tc>
        <w:tc>
          <w:tcPr>
            <w:tcW w:w="2235" w:type="dxa"/>
            <w:tcBorders>
              <w:top w:val="single" w:sz="4" w:space="0" w:color="auto"/>
              <w:left w:val="single" w:sz="4" w:space="0" w:color="auto"/>
              <w:bottom w:val="single" w:sz="4" w:space="0" w:color="auto"/>
              <w:right w:val="single" w:sz="4" w:space="0" w:color="auto"/>
            </w:tcBorders>
            <w:hideMark/>
          </w:tcPr>
          <w:p w14:paraId="119D6EC6" w14:textId="10CF01C2" w:rsidR="00506B54" w:rsidRDefault="00506B54" w:rsidP="00506B54">
            <w:pPr>
              <w:pStyle w:val="TAL"/>
              <w:rPr>
                <w:rFonts w:ascii="Times New Roman" w:hAnsi="Times New Roman"/>
                <w:szCs w:val="18"/>
                <w:lang w:eastAsia="ja-JP"/>
              </w:rPr>
            </w:pPr>
            <w:r>
              <w:rPr>
                <w:rFonts w:ascii="Times New Roman" w:hAnsi="Times New Roman"/>
                <w:szCs w:val="18"/>
                <w:lang w:eastAsia="ja-JP"/>
              </w:rPr>
              <w:t>No RAN3’s further work at current stage.</w:t>
            </w:r>
          </w:p>
          <w:p w14:paraId="7083177C" w14:textId="7028F019" w:rsidR="00506B54" w:rsidRDefault="00506B54" w:rsidP="00506B54">
            <w:pPr>
              <w:pStyle w:val="TAL"/>
              <w:rPr>
                <w:rFonts w:ascii="Times New Roman" w:hAnsi="Times New Roman"/>
                <w:szCs w:val="18"/>
                <w:lang w:eastAsia="zh-CN"/>
              </w:rPr>
            </w:pPr>
          </w:p>
          <w:p w14:paraId="6D8FD941" w14:textId="428E7B4A" w:rsidR="00506B54" w:rsidRDefault="00506B54" w:rsidP="00506B54">
            <w:pPr>
              <w:pStyle w:val="TAL"/>
              <w:rPr>
                <w:rFonts w:ascii="Times New Roman" w:hAnsi="Times New Roman"/>
                <w:szCs w:val="18"/>
                <w:lang w:eastAsia="zh-CN"/>
              </w:rPr>
            </w:pPr>
          </w:p>
          <w:p w14:paraId="6F1C9647" w14:textId="36BE1E2D" w:rsidR="00506B54" w:rsidRDefault="00506B54" w:rsidP="00506B54">
            <w:pPr>
              <w:pStyle w:val="TAL"/>
              <w:rPr>
                <w:rFonts w:ascii="Times New Roman" w:hAnsi="Times New Roman"/>
                <w:szCs w:val="18"/>
                <w:lang w:eastAsia="zh-CN"/>
              </w:rPr>
            </w:pPr>
          </w:p>
          <w:p w14:paraId="36986BE8" w14:textId="107068AB" w:rsidR="00506B54" w:rsidRDefault="00506B54" w:rsidP="00506B54">
            <w:pPr>
              <w:pStyle w:val="TAL"/>
              <w:rPr>
                <w:rFonts w:ascii="Times New Roman" w:hAnsi="Times New Roman"/>
                <w:szCs w:val="18"/>
                <w:lang w:eastAsia="zh-CN"/>
              </w:rPr>
            </w:pPr>
          </w:p>
          <w:p w14:paraId="436C233D" w14:textId="2690C111" w:rsidR="00506B54" w:rsidRDefault="00506B54" w:rsidP="00506B54">
            <w:pPr>
              <w:pStyle w:val="TAL"/>
              <w:rPr>
                <w:rFonts w:ascii="Times New Roman" w:hAnsi="Times New Roman"/>
                <w:szCs w:val="18"/>
                <w:lang w:eastAsia="zh-CN"/>
              </w:rPr>
            </w:pPr>
          </w:p>
          <w:p w14:paraId="1A4B5DDA" w14:textId="585C4245" w:rsidR="00506B54" w:rsidRDefault="00506B54" w:rsidP="00506B54">
            <w:pPr>
              <w:pStyle w:val="TAL"/>
              <w:rPr>
                <w:rFonts w:ascii="Times New Roman" w:hAnsi="Times New Roman"/>
                <w:szCs w:val="18"/>
                <w:lang w:eastAsia="zh-CN"/>
              </w:rPr>
            </w:pPr>
          </w:p>
          <w:p w14:paraId="6667353E" w14:textId="2072861C" w:rsidR="00506B54" w:rsidRDefault="00506B54" w:rsidP="00506B54">
            <w:pPr>
              <w:pStyle w:val="TAL"/>
              <w:rPr>
                <w:rFonts w:ascii="Times New Roman" w:hAnsi="Times New Roman"/>
                <w:szCs w:val="18"/>
                <w:lang w:eastAsia="zh-CN"/>
              </w:rPr>
            </w:pPr>
          </w:p>
          <w:p w14:paraId="38F706AA" w14:textId="77777777" w:rsidR="00506B54" w:rsidRPr="00BA57EA" w:rsidRDefault="00506B54" w:rsidP="007F437C">
            <w:pPr>
              <w:pStyle w:val="TAL"/>
              <w:rPr>
                <w:rFonts w:ascii="Times New Roman" w:hAnsi="Times New Roman"/>
                <w:szCs w:val="18"/>
                <w:lang w:eastAsia="ja-JP"/>
              </w:rPr>
            </w:pPr>
          </w:p>
        </w:tc>
      </w:tr>
    </w:tbl>
    <w:p w14:paraId="420286F8" w14:textId="77777777" w:rsidR="00506B54" w:rsidRDefault="00506B54" w:rsidP="00101E3F"/>
    <w:p w14:paraId="115C5149" w14:textId="41C6F482" w:rsidR="0011641F" w:rsidRPr="00CB7416" w:rsidRDefault="00AB1260" w:rsidP="00101E3F">
      <w:pPr>
        <w:rPr>
          <w:b/>
          <w:sz w:val="22"/>
          <w:szCs w:val="21"/>
        </w:rPr>
      </w:pPr>
      <w:r w:rsidRPr="00CB7416">
        <w:rPr>
          <w:b/>
          <w:sz w:val="22"/>
          <w:szCs w:val="21"/>
        </w:rPr>
        <w:t>Observation</w:t>
      </w:r>
      <w:r w:rsidR="00CB7416">
        <w:rPr>
          <w:b/>
          <w:sz w:val="22"/>
          <w:szCs w:val="21"/>
        </w:rPr>
        <w:t xml:space="preserve"> 8</w:t>
      </w:r>
      <w:r w:rsidRPr="00CB7416">
        <w:rPr>
          <w:b/>
          <w:sz w:val="22"/>
          <w:szCs w:val="21"/>
        </w:rPr>
        <w:t>, there’s no RAN3 further work at current stage with regard to Key issue#7.</w:t>
      </w:r>
    </w:p>
    <w:p w14:paraId="0E893AE3" w14:textId="53AC4B08" w:rsidR="00AB1260" w:rsidRPr="00CB7416" w:rsidRDefault="00AB1260" w:rsidP="00101E3F">
      <w:pPr>
        <w:rPr>
          <w:b/>
          <w:sz w:val="22"/>
          <w:szCs w:val="21"/>
        </w:rPr>
      </w:pPr>
      <w:r w:rsidRPr="00CB7416">
        <w:rPr>
          <w:b/>
          <w:sz w:val="22"/>
          <w:szCs w:val="21"/>
        </w:rPr>
        <w:t>Observation</w:t>
      </w:r>
      <w:r w:rsidR="00CB7416">
        <w:rPr>
          <w:b/>
          <w:sz w:val="22"/>
          <w:szCs w:val="21"/>
        </w:rPr>
        <w:t xml:space="preserve"> 9</w:t>
      </w:r>
      <w:r w:rsidRPr="00CB7416">
        <w:rPr>
          <w:b/>
          <w:sz w:val="22"/>
          <w:szCs w:val="21"/>
        </w:rPr>
        <w:t>, SA2 decides to use CAG function for UE access control, which can also be used for onboard UE identification, since CAG identifier can be human-readable and be selected by UE manually.</w:t>
      </w:r>
    </w:p>
    <w:p w14:paraId="049CB9FE" w14:textId="02C08374" w:rsidR="00AB1260" w:rsidRPr="00CB7416" w:rsidRDefault="00AB1260" w:rsidP="00101E3F">
      <w:pPr>
        <w:rPr>
          <w:b/>
          <w:sz w:val="22"/>
          <w:szCs w:val="21"/>
        </w:rPr>
      </w:pPr>
      <w:r w:rsidRPr="00CB7416">
        <w:rPr>
          <w:b/>
          <w:sz w:val="22"/>
          <w:szCs w:val="21"/>
        </w:rPr>
        <w:t>Proposal</w:t>
      </w:r>
      <w:r w:rsidR="00CB7416">
        <w:rPr>
          <w:b/>
          <w:sz w:val="22"/>
          <w:szCs w:val="21"/>
        </w:rPr>
        <w:t xml:space="preserve"> 10</w:t>
      </w:r>
      <w:r w:rsidRPr="00CB7416">
        <w:rPr>
          <w:b/>
          <w:sz w:val="22"/>
          <w:szCs w:val="21"/>
        </w:rPr>
        <w:t>, RAN3 answers SA2 that RAN3 acknowledge that there’s no further work for RAN3 on key issue #7.</w:t>
      </w:r>
    </w:p>
    <w:p w14:paraId="0365D730" w14:textId="73169AAF" w:rsidR="00676E33" w:rsidRPr="00CB7416" w:rsidRDefault="00AB1260" w:rsidP="00101E3F">
      <w:pPr>
        <w:rPr>
          <w:b/>
          <w:sz w:val="22"/>
          <w:szCs w:val="21"/>
        </w:rPr>
      </w:pPr>
      <w:r w:rsidRPr="00CB7416">
        <w:rPr>
          <w:b/>
          <w:sz w:val="22"/>
          <w:szCs w:val="21"/>
        </w:rPr>
        <w:t>Proposal</w:t>
      </w:r>
      <w:r w:rsidR="00CB7416">
        <w:rPr>
          <w:b/>
          <w:sz w:val="22"/>
          <w:szCs w:val="21"/>
        </w:rPr>
        <w:t xml:space="preserve"> 11</w:t>
      </w:r>
      <w:r w:rsidRPr="00CB7416">
        <w:rPr>
          <w:b/>
          <w:sz w:val="22"/>
          <w:szCs w:val="21"/>
        </w:rPr>
        <w:t>, RAN3 discuss whether to use CAG function to identify onboard UE.</w:t>
      </w:r>
    </w:p>
    <w:p w14:paraId="1683CED8" w14:textId="6C0FA501" w:rsidR="00676E33" w:rsidRDefault="00676E33" w:rsidP="00676E33">
      <w:pPr>
        <w:pStyle w:val="2"/>
      </w:pPr>
      <w:r>
        <w:t>2.</w:t>
      </w:r>
      <w:r w:rsidRPr="007F437C">
        <w:t>7</w:t>
      </w:r>
      <w:r w:rsidRPr="007F437C">
        <w:tab/>
      </w:r>
      <w:r w:rsidR="008B6F48" w:rsidRPr="007F437C">
        <w:t xml:space="preserve">RAN3 discussion </w:t>
      </w:r>
      <w:r w:rsidRPr="007F437C">
        <w:t>scope on SA2 requirements</w:t>
      </w:r>
    </w:p>
    <w:p w14:paraId="28146324" w14:textId="7E99AE3E" w:rsidR="00676E33" w:rsidRPr="00CB7416" w:rsidRDefault="00AB1260" w:rsidP="00101E3F">
      <w:pPr>
        <w:rPr>
          <w:sz w:val="22"/>
          <w:szCs w:val="21"/>
        </w:rPr>
      </w:pPr>
      <w:r w:rsidRPr="00CB7416">
        <w:rPr>
          <w:sz w:val="22"/>
          <w:szCs w:val="21"/>
        </w:rPr>
        <w:t>Based on the above discussion, we list the RAN3’s further work on the SA2 requirements according to SA2’s progress</w:t>
      </w:r>
      <w:r w:rsidR="007C3D55" w:rsidRPr="00CB7416">
        <w:rPr>
          <w:sz w:val="22"/>
          <w:szCs w:val="21"/>
        </w:rPr>
        <w:t xml:space="preserve">, we think RAN3 need to discuss which </w:t>
      </w:r>
      <w:r w:rsidR="00CB7416">
        <w:rPr>
          <w:sz w:val="22"/>
          <w:szCs w:val="21"/>
        </w:rPr>
        <w:t>KIs</w:t>
      </w:r>
      <w:r w:rsidR="007C3D55" w:rsidRPr="00CB7416">
        <w:rPr>
          <w:sz w:val="22"/>
          <w:szCs w:val="21"/>
        </w:rPr>
        <w:t xml:space="preserve"> can </w:t>
      </w:r>
      <w:r w:rsidR="00F0269B" w:rsidRPr="00CB7416">
        <w:rPr>
          <w:sz w:val="22"/>
          <w:szCs w:val="21"/>
        </w:rPr>
        <w:t xml:space="preserve">be </w:t>
      </w:r>
      <w:r w:rsidR="007C3D55" w:rsidRPr="00CB7416">
        <w:rPr>
          <w:sz w:val="22"/>
          <w:szCs w:val="21"/>
        </w:rPr>
        <w:t xml:space="preserve">further discussed in RAN3 considering RAN3’s TU and the </w:t>
      </w:r>
      <w:r w:rsidR="00602E0A" w:rsidRPr="00CB7416">
        <w:rPr>
          <w:sz w:val="22"/>
          <w:szCs w:val="21"/>
        </w:rPr>
        <w:t>importance</w:t>
      </w:r>
      <w:r w:rsidR="00CB7416">
        <w:rPr>
          <w:sz w:val="22"/>
          <w:szCs w:val="21"/>
        </w:rPr>
        <w:t xml:space="preserve"> for SA2</w:t>
      </w:r>
      <w:r w:rsidR="00602E0A" w:rsidRPr="00CB7416">
        <w:rPr>
          <w:sz w:val="22"/>
          <w:szCs w:val="21"/>
        </w:rPr>
        <w:t xml:space="preserve">, the importance </w:t>
      </w:r>
      <w:r w:rsidR="00CB7416">
        <w:rPr>
          <w:sz w:val="22"/>
          <w:szCs w:val="21"/>
        </w:rPr>
        <w:t>can be understood as</w:t>
      </w:r>
      <w:r w:rsidR="00602E0A" w:rsidRPr="00CB7416">
        <w:rPr>
          <w:sz w:val="22"/>
          <w:szCs w:val="21"/>
        </w:rPr>
        <w:t xml:space="preserve"> RAN3 dependency on this issue, which means, if RAN3 doesn’t support it, the issue may not be solved</w:t>
      </w:r>
      <w:r w:rsidR="00CB7416">
        <w:rPr>
          <w:sz w:val="22"/>
          <w:szCs w:val="21"/>
        </w:rPr>
        <w:t xml:space="preserve"> in SA2</w:t>
      </w:r>
      <w:r w:rsidR="00602E0A" w:rsidRPr="00CB7416">
        <w:rPr>
          <w:sz w:val="22"/>
          <w:szCs w:val="21"/>
        </w:rPr>
        <w:t>.</w:t>
      </w:r>
    </w:p>
    <w:p w14:paraId="3DBC63C0" w14:textId="017937E6" w:rsidR="00602E0A" w:rsidRPr="00CB7416" w:rsidRDefault="00602E0A" w:rsidP="00101E3F">
      <w:pPr>
        <w:rPr>
          <w:sz w:val="22"/>
          <w:szCs w:val="21"/>
        </w:rPr>
      </w:pPr>
      <w:r w:rsidRPr="00CB7416">
        <w:rPr>
          <w:sz w:val="22"/>
          <w:szCs w:val="21"/>
        </w:rPr>
        <w:t xml:space="preserve">According to the table below, we think RAN3 can further discuss the topics in the following </w:t>
      </w:r>
      <w:r w:rsidR="00F0269B" w:rsidRPr="00CB7416">
        <w:rPr>
          <w:sz w:val="22"/>
          <w:szCs w:val="21"/>
        </w:rPr>
        <w:t xml:space="preserve">priority </w:t>
      </w:r>
      <w:r w:rsidRPr="00CB7416">
        <w:rPr>
          <w:sz w:val="22"/>
          <w:szCs w:val="21"/>
        </w:rPr>
        <w:t>sequence:</w:t>
      </w:r>
    </w:p>
    <w:p w14:paraId="25F37C93" w14:textId="11035174" w:rsidR="00602E0A" w:rsidRPr="00CB7416" w:rsidRDefault="00F0269B" w:rsidP="00602E0A">
      <w:pPr>
        <w:pStyle w:val="a9"/>
        <w:numPr>
          <w:ilvl w:val="0"/>
          <w:numId w:val="20"/>
        </w:numPr>
        <w:ind w:leftChars="0"/>
        <w:rPr>
          <w:rFonts w:ascii="Times New Roman" w:hAnsi="Times New Roman"/>
          <w:sz w:val="22"/>
        </w:rPr>
      </w:pPr>
      <w:r w:rsidRPr="00CB7416">
        <w:rPr>
          <w:rFonts w:ascii="Times New Roman" w:hAnsi="Times New Roman"/>
          <w:sz w:val="22"/>
        </w:rPr>
        <w:t xml:space="preserve">1. </w:t>
      </w:r>
      <w:r w:rsidR="00602E0A" w:rsidRPr="00CB7416">
        <w:rPr>
          <w:rFonts w:ascii="Times New Roman" w:hAnsi="Times New Roman"/>
          <w:sz w:val="22"/>
        </w:rPr>
        <w:t>Support of providing additional ULI</w:t>
      </w:r>
      <w:r w:rsidR="007F437C" w:rsidRPr="00CB7416">
        <w:rPr>
          <w:rFonts w:ascii="Times New Roman" w:hAnsi="Times New Roman"/>
          <w:sz w:val="22"/>
        </w:rPr>
        <w:t xml:space="preserve"> (relates to KI #6)</w:t>
      </w:r>
    </w:p>
    <w:p w14:paraId="2717BEBA" w14:textId="7414BEA3" w:rsidR="00602E0A" w:rsidRPr="00CB7416" w:rsidRDefault="00F0269B" w:rsidP="00602E0A">
      <w:pPr>
        <w:pStyle w:val="a9"/>
        <w:numPr>
          <w:ilvl w:val="0"/>
          <w:numId w:val="20"/>
        </w:numPr>
        <w:ind w:leftChars="0"/>
        <w:rPr>
          <w:rFonts w:ascii="Times New Roman" w:hAnsi="Times New Roman"/>
          <w:sz w:val="22"/>
        </w:rPr>
      </w:pPr>
      <w:r w:rsidRPr="00CB7416">
        <w:rPr>
          <w:rFonts w:ascii="Times New Roman" w:hAnsi="Times New Roman"/>
          <w:sz w:val="22"/>
        </w:rPr>
        <w:t xml:space="preserve">2. </w:t>
      </w:r>
      <w:r w:rsidR="00602E0A" w:rsidRPr="00CB7416">
        <w:rPr>
          <w:rFonts w:ascii="Times New Roman" w:hAnsi="Times New Roman"/>
          <w:sz w:val="22"/>
        </w:rPr>
        <w:t>Support of obtaining operation related information (relates to KI #1)</w:t>
      </w:r>
    </w:p>
    <w:p w14:paraId="4E15B0C1" w14:textId="7EEC522C" w:rsidR="00602E0A" w:rsidRPr="00CB7416" w:rsidRDefault="00F0269B" w:rsidP="00602E0A">
      <w:pPr>
        <w:pStyle w:val="a9"/>
        <w:numPr>
          <w:ilvl w:val="0"/>
          <w:numId w:val="20"/>
        </w:numPr>
        <w:ind w:leftChars="0"/>
        <w:rPr>
          <w:rFonts w:ascii="Times New Roman" w:hAnsi="Times New Roman"/>
          <w:sz w:val="22"/>
        </w:rPr>
      </w:pPr>
      <w:r w:rsidRPr="00CB7416">
        <w:rPr>
          <w:rFonts w:ascii="Times New Roman" w:hAnsi="Times New Roman"/>
          <w:sz w:val="22"/>
        </w:rPr>
        <w:t xml:space="preserve">3. </w:t>
      </w:r>
      <w:r w:rsidR="00602E0A" w:rsidRPr="00CB7416">
        <w:rPr>
          <w:rFonts w:ascii="Times New Roman" w:hAnsi="Times New Roman"/>
          <w:sz w:val="22"/>
        </w:rPr>
        <w:t xml:space="preserve">Support of </w:t>
      </w:r>
      <w:r w:rsidR="007F437C" w:rsidRPr="00CB7416">
        <w:rPr>
          <w:rFonts w:ascii="Times New Roman" w:hAnsi="Times New Roman"/>
          <w:sz w:val="22"/>
        </w:rPr>
        <w:t>enhanced location services (relates to KI #5)</w:t>
      </w: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4909"/>
        <w:gridCol w:w="1142"/>
        <w:gridCol w:w="1311"/>
      </w:tblGrid>
      <w:tr w:rsidR="007C3D55" w:rsidRPr="009F2175" w14:paraId="6F1754A7" w14:textId="5B180096" w:rsidTr="007C3D55">
        <w:trPr>
          <w:trHeight w:val="103"/>
        </w:trPr>
        <w:tc>
          <w:tcPr>
            <w:tcW w:w="2085" w:type="dxa"/>
            <w:tcBorders>
              <w:top w:val="single" w:sz="4" w:space="0" w:color="auto"/>
              <w:left w:val="single" w:sz="4" w:space="0" w:color="auto"/>
              <w:bottom w:val="single" w:sz="4" w:space="0" w:color="auto"/>
              <w:right w:val="single" w:sz="4" w:space="0" w:color="auto"/>
            </w:tcBorders>
            <w:vAlign w:val="center"/>
            <w:hideMark/>
          </w:tcPr>
          <w:p w14:paraId="49C52BA8" w14:textId="77777777" w:rsidR="007C3D55" w:rsidRPr="009F2175" w:rsidRDefault="007C3D55" w:rsidP="00F16D0E">
            <w:pPr>
              <w:pStyle w:val="TAH"/>
              <w:rPr>
                <w:rFonts w:ascii="Times New Roman" w:hAnsi="Times New Roman"/>
                <w:sz w:val="20"/>
                <w:lang w:eastAsia="ja-JP"/>
              </w:rPr>
            </w:pPr>
            <w:r w:rsidRPr="009F2175">
              <w:rPr>
                <w:rFonts w:ascii="Times New Roman" w:hAnsi="Times New Roman"/>
                <w:sz w:val="20"/>
                <w:szCs w:val="18"/>
                <w:lang w:eastAsia="ja-JP"/>
              </w:rPr>
              <w:lastRenderedPageBreak/>
              <w:t>SA2’s KI</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0029B94" w14:textId="77777777" w:rsidR="007C3D55" w:rsidRPr="009F2175" w:rsidRDefault="007C3D55" w:rsidP="00F16D0E">
            <w:pPr>
              <w:pStyle w:val="TAH"/>
              <w:rPr>
                <w:rFonts w:ascii="Times New Roman" w:hAnsi="Times New Roman"/>
                <w:sz w:val="20"/>
                <w:lang w:eastAsia="ja-JP"/>
              </w:rPr>
            </w:pPr>
            <w:r w:rsidRPr="009F2175">
              <w:rPr>
                <w:rFonts w:ascii="Times New Roman" w:hAnsi="Times New Roman"/>
                <w:sz w:val="20"/>
                <w:lang w:eastAsia="ja-JP"/>
              </w:rPr>
              <w:t>RAN3’s work</w:t>
            </w:r>
          </w:p>
        </w:tc>
        <w:tc>
          <w:tcPr>
            <w:tcW w:w="1142" w:type="dxa"/>
            <w:tcBorders>
              <w:top w:val="single" w:sz="4" w:space="0" w:color="auto"/>
              <w:left w:val="single" w:sz="4" w:space="0" w:color="auto"/>
              <w:bottom w:val="single" w:sz="4" w:space="0" w:color="auto"/>
              <w:right w:val="single" w:sz="4" w:space="0" w:color="auto"/>
            </w:tcBorders>
          </w:tcPr>
          <w:p w14:paraId="42DB5D8C" w14:textId="362562AE" w:rsidR="007C3D55" w:rsidRPr="009F2175" w:rsidRDefault="007C3D55" w:rsidP="00F16D0E">
            <w:pPr>
              <w:pStyle w:val="TAH"/>
              <w:rPr>
                <w:rFonts w:ascii="Times New Roman" w:hAnsi="Times New Roman"/>
                <w:sz w:val="20"/>
                <w:lang w:eastAsia="ja-JP"/>
              </w:rPr>
            </w:pPr>
            <w:r>
              <w:rPr>
                <w:rFonts w:ascii="Times New Roman" w:hAnsi="Times New Roman"/>
                <w:sz w:val="20"/>
                <w:lang w:eastAsia="ja-JP"/>
              </w:rPr>
              <w:t>Potential workload</w:t>
            </w:r>
          </w:p>
        </w:tc>
        <w:tc>
          <w:tcPr>
            <w:tcW w:w="1311" w:type="dxa"/>
            <w:tcBorders>
              <w:top w:val="single" w:sz="4" w:space="0" w:color="auto"/>
              <w:left w:val="single" w:sz="4" w:space="0" w:color="auto"/>
              <w:bottom w:val="single" w:sz="4" w:space="0" w:color="auto"/>
              <w:right w:val="single" w:sz="4" w:space="0" w:color="auto"/>
            </w:tcBorders>
            <w:vAlign w:val="center"/>
          </w:tcPr>
          <w:p w14:paraId="74A0A2A4" w14:textId="7EB9C5DD" w:rsidR="007C3D55" w:rsidRPr="009F2175" w:rsidRDefault="007C3D55" w:rsidP="007C3D55">
            <w:pPr>
              <w:pStyle w:val="TAH"/>
              <w:rPr>
                <w:rFonts w:ascii="Times New Roman" w:hAnsi="Times New Roman"/>
                <w:sz w:val="20"/>
                <w:lang w:eastAsia="ja-JP"/>
              </w:rPr>
            </w:pPr>
            <w:r>
              <w:rPr>
                <w:rFonts w:ascii="Times New Roman" w:hAnsi="Times New Roman"/>
                <w:sz w:val="20"/>
                <w:lang w:eastAsia="ja-JP"/>
              </w:rPr>
              <w:t>Importance</w:t>
            </w:r>
          </w:p>
        </w:tc>
      </w:tr>
      <w:tr w:rsidR="007C3D55" w:rsidRPr="009F2175" w14:paraId="4E9AADA7" w14:textId="518C652A" w:rsidTr="00CB7416">
        <w:trPr>
          <w:trHeight w:val="318"/>
        </w:trPr>
        <w:tc>
          <w:tcPr>
            <w:tcW w:w="2085" w:type="dxa"/>
            <w:tcBorders>
              <w:top w:val="single" w:sz="4" w:space="0" w:color="auto"/>
              <w:left w:val="single" w:sz="4" w:space="0" w:color="auto"/>
              <w:bottom w:val="single" w:sz="4" w:space="0" w:color="auto"/>
              <w:right w:val="single" w:sz="4" w:space="0" w:color="auto"/>
            </w:tcBorders>
            <w:vAlign w:val="center"/>
            <w:hideMark/>
          </w:tcPr>
          <w:p w14:paraId="6D178D57" w14:textId="77777777" w:rsidR="007C3D55" w:rsidRPr="009F2175" w:rsidRDefault="007C3D55" w:rsidP="00CB7416">
            <w:pPr>
              <w:pStyle w:val="TAL"/>
              <w:rPr>
                <w:rFonts w:ascii="Times New Roman" w:hAnsi="Times New Roman"/>
                <w:bCs/>
                <w:iCs/>
                <w:lang w:eastAsia="ja-JP"/>
              </w:rPr>
            </w:pPr>
            <w:r w:rsidRPr="009F2175">
              <w:rPr>
                <w:rFonts w:ascii="Times New Roman" w:hAnsi="Times New Roman"/>
              </w:rPr>
              <w:t>Key Issue #1: Mobile base station relay configuration support in 5GC</w:t>
            </w:r>
          </w:p>
        </w:tc>
        <w:tc>
          <w:tcPr>
            <w:tcW w:w="4909" w:type="dxa"/>
            <w:tcBorders>
              <w:top w:val="single" w:sz="4" w:space="0" w:color="auto"/>
              <w:left w:val="single" w:sz="4" w:space="0" w:color="auto"/>
              <w:bottom w:val="single" w:sz="4" w:space="0" w:color="auto"/>
              <w:right w:val="single" w:sz="4" w:space="0" w:color="auto"/>
            </w:tcBorders>
            <w:vAlign w:val="center"/>
            <w:hideMark/>
          </w:tcPr>
          <w:p w14:paraId="2CA4F012" w14:textId="37FD734D" w:rsidR="007C3D55" w:rsidRPr="007C3D55" w:rsidRDefault="00CB7416" w:rsidP="00CB7416">
            <w:pPr>
              <w:pStyle w:val="TAL"/>
              <w:rPr>
                <w:rFonts w:ascii="Times New Roman" w:hAnsi="Times New Roman"/>
                <w:lang w:eastAsia="zh-CN"/>
              </w:rPr>
            </w:pPr>
            <w:r w:rsidRPr="009F2175">
              <w:rPr>
                <w:rFonts w:ascii="Times New Roman" w:hAnsi="Times New Roman"/>
                <w:lang w:eastAsia="ja-JP"/>
              </w:rPr>
              <w:t>If RAN3 agrees to introduce operation related information, RAN3 need to further discuss how to introduce the information and potential spec impact on NGAP or F1AP</w:t>
            </w:r>
            <w:r>
              <w:rPr>
                <w:rFonts w:ascii="Times New Roman" w:hAnsi="Times New Roman" w:hint="eastAsia"/>
                <w:lang w:eastAsia="zh-CN"/>
              </w:rPr>
              <w:t>.</w:t>
            </w:r>
          </w:p>
        </w:tc>
        <w:tc>
          <w:tcPr>
            <w:tcW w:w="1142" w:type="dxa"/>
            <w:tcBorders>
              <w:top w:val="single" w:sz="4" w:space="0" w:color="auto"/>
              <w:left w:val="single" w:sz="4" w:space="0" w:color="auto"/>
              <w:bottom w:val="single" w:sz="4" w:space="0" w:color="auto"/>
              <w:right w:val="single" w:sz="4" w:space="0" w:color="auto"/>
            </w:tcBorders>
            <w:vAlign w:val="center"/>
          </w:tcPr>
          <w:p w14:paraId="1211D234" w14:textId="5A0E24EC" w:rsidR="007C3D55" w:rsidRPr="009F2175" w:rsidRDefault="007C3D55" w:rsidP="00CB7416">
            <w:pPr>
              <w:pStyle w:val="TAL"/>
              <w:jc w:val="center"/>
              <w:rPr>
                <w:rFonts w:ascii="Times New Roman" w:hAnsi="Times New Roman"/>
                <w:lang w:eastAsia="ja-JP"/>
              </w:rPr>
            </w:pPr>
            <w:r>
              <w:rPr>
                <w:rFonts w:ascii="Times New Roman" w:hAnsi="Times New Roman"/>
                <w:lang w:eastAsia="ja-JP"/>
              </w:rPr>
              <w:t>Low</w:t>
            </w:r>
          </w:p>
        </w:tc>
        <w:tc>
          <w:tcPr>
            <w:tcW w:w="1311" w:type="dxa"/>
            <w:tcBorders>
              <w:top w:val="single" w:sz="4" w:space="0" w:color="auto"/>
              <w:left w:val="single" w:sz="4" w:space="0" w:color="auto"/>
              <w:bottom w:val="single" w:sz="4" w:space="0" w:color="auto"/>
              <w:right w:val="single" w:sz="4" w:space="0" w:color="auto"/>
            </w:tcBorders>
            <w:vAlign w:val="center"/>
          </w:tcPr>
          <w:p w14:paraId="50B9D57A" w14:textId="55DDF1E3" w:rsidR="007C3D55" w:rsidRPr="009F2175" w:rsidRDefault="007C3D55" w:rsidP="00CB7416">
            <w:pPr>
              <w:pStyle w:val="TAL"/>
              <w:jc w:val="center"/>
              <w:rPr>
                <w:rFonts w:ascii="Times New Roman" w:hAnsi="Times New Roman"/>
                <w:lang w:eastAsia="ja-JP"/>
              </w:rPr>
            </w:pPr>
            <w:r>
              <w:rPr>
                <w:rFonts w:ascii="Times New Roman" w:hAnsi="Times New Roman"/>
                <w:lang w:eastAsia="ja-JP"/>
              </w:rPr>
              <w:t>Low</w:t>
            </w:r>
          </w:p>
        </w:tc>
      </w:tr>
      <w:tr w:rsidR="007C3D55" w:rsidRPr="00700394" w14:paraId="421F1518" w14:textId="043F9931" w:rsidTr="00CB7416">
        <w:trPr>
          <w:trHeight w:val="380"/>
        </w:trPr>
        <w:tc>
          <w:tcPr>
            <w:tcW w:w="2085" w:type="dxa"/>
            <w:tcBorders>
              <w:top w:val="single" w:sz="4" w:space="0" w:color="auto"/>
              <w:left w:val="single" w:sz="4" w:space="0" w:color="auto"/>
              <w:bottom w:val="single" w:sz="4" w:space="0" w:color="auto"/>
              <w:right w:val="single" w:sz="4" w:space="0" w:color="auto"/>
            </w:tcBorders>
            <w:vAlign w:val="center"/>
            <w:hideMark/>
          </w:tcPr>
          <w:p w14:paraId="115BA6AB" w14:textId="77777777" w:rsidR="007C3D55" w:rsidRPr="00AB1260" w:rsidRDefault="007C3D55" w:rsidP="00CB7416">
            <w:pPr>
              <w:pStyle w:val="TAL"/>
              <w:rPr>
                <w:rFonts w:ascii="Times New Roman" w:hAnsi="Times New Roman"/>
              </w:rPr>
            </w:pPr>
            <w:r w:rsidRPr="00AB1260">
              <w:rPr>
                <w:rFonts w:ascii="Times New Roman" w:hAnsi="Times New Roman"/>
              </w:rPr>
              <w:t>Key Issue #3: Efficient mobility and service continuity when served by mobile base station relay</w:t>
            </w:r>
          </w:p>
        </w:tc>
        <w:tc>
          <w:tcPr>
            <w:tcW w:w="4909" w:type="dxa"/>
            <w:tcBorders>
              <w:top w:val="single" w:sz="4" w:space="0" w:color="auto"/>
              <w:left w:val="single" w:sz="4" w:space="0" w:color="auto"/>
              <w:bottom w:val="single" w:sz="4" w:space="0" w:color="auto"/>
              <w:right w:val="single" w:sz="4" w:space="0" w:color="auto"/>
            </w:tcBorders>
            <w:vAlign w:val="center"/>
            <w:hideMark/>
          </w:tcPr>
          <w:p w14:paraId="750AD73E" w14:textId="113D2B6A"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Dynamic TAC: no spec impact, RAU can be avoided by proper RA.</w:t>
            </w:r>
          </w:p>
          <w:p w14:paraId="3BF06281" w14:textId="77777777" w:rsidR="007C3D55" w:rsidRPr="00AB1260" w:rsidRDefault="007C3D55" w:rsidP="00CB7416">
            <w:pPr>
              <w:pStyle w:val="TAL"/>
              <w:rPr>
                <w:rFonts w:ascii="Times New Roman" w:hAnsi="Times New Roman"/>
                <w:lang w:eastAsia="ja-JP"/>
              </w:rPr>
            </w:pPr>
          </w:p>
          <w:p w14:paraId="7F6ADFF7" w14:textId="5948B894" w:rsidR="007C3D55" w:rsidRPr="00CB7416" w:rsidRDefault="00CB7416" w:rsidP="00CB7416">
            <w:pPr>
              <w:pStyle w:val="TAL"/>
              <w:rPr>
                <w:rFonts w:ascii="Times New Roman" w:hAnsi="Times New Roman"/>
                <w:szCs w:val="18"/>
                <w:lang w:eastAsia="ja-JP"/>
              </w:rPr>
            </w:pPr>
            <w:r>
              <w:rPr>
                <w:rFonts w:ascii="Times New Roman" w:hAnsi="Times New Roman"/>
                <w:szCs w:val="18"/>
                <w:lang w:eastAsia="ja-JP"/>
              </w:rPr>
              <w:t>UE mobility enhancement: RAN3 can take SA2’s conclusion into account when discussing the mobility enhancement in RAN3</w:t>
            </w:r>
          </w:p>
        </w:tc>
        <w:tc>
          <w:tcPr>
            <w:tcW w:w="1142" w:type="dxa"/>
            <w:tcBorders>
              <w:top w:val="single" w:sz="4" w:space="0" w:color="auto"/>
              <w:left w:val="single" w:sz="4" w:space="0" w:color="auto"/>
              <w:bottom w:val="single" w:sz="4" w:space="0" w:color="auto"/>
              <w:right w:val="single" w:sz="4" w:space="0" w:color="auto"/>
            </w:tcBorders>
            <w:vAlign w:val="center"/>
          </w:tcPr>
          <w:p w14:paraId="16E4A78C" w14:textId="3E956F6D"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None</w:t>
            </w:r>
          </w:p>
        </w:tc>
        <w:tc>
          <w:tcPr>
            <w:tcW w:w="1311" w:type="dxa"/>
            <w:tcBorders>
              <w:top w:val="single" w:sz="4" w:space="0" w:color="auto"/>
              <w:left w:val="single" w:sz="4" w:space="0" w:color="auto"/>
              <w:bottom w:val="single" w:sz="4" w:space="0" w:color="auto"/>
              <w:right w:val="single" w:sz="4" w:space="0" w:color="auto"/>
            </w:tcBorders>
            <w:vAlign w:val="center"/>
          </w:tcPr>
          <w:p w14:paraId="5CFC68EB" w14:textId="56FD48BB"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w:t>
            </w:r>
          </w:p>
        </w:tc>
      </w:tr>
      <w:tr w:rsidR="007C3D55" w:rsidRPr="00700394" w14:paraId="6E0EE2FB" w14:textId="5A51EF03" w:rsidTr="00CB7416">
        <w:trPr>
          <w:trHeight w:val="218"/>
        </w:trPr>
        <w:tc>
          <w:tcPr>
            <w:tcW w:w="2085" w:type="dxa"/>
            <w:tcBorders>
              <w:top w:val="single" w:sz="4" w:space="0" w:color="auto"/>
              <w:left w:val="single" w:sz="4" w:space="0" w:color="auto"/>
              <w:bottom w:val="single" w:sz="4" w:space="0" w:color="auto"/>
              <w:right w:val="single" w:sz="4" w:space="0" w:color="auto"/>
            </w:tcBorders>
            <w:vAlign w:val="center"/>
            <w:hideMark/>
          </w:tcPr>
          <w:p w14:paraId="114426D0" w14:textId="77777777" w:rsidR="007C3D55" w:rsidRPr="00AB1260" w:rsidRDefault="007C3D55" w:rsidP="00CB7416">
            <w:pPr>
              <w:pStyle w:val="TAL"/>
              <w:rPr>
                <w:rFonts w:ascii="Times New Roman" w:hAnsi="Times New Roman"/>
              </w:rPr>
            </w:pPr>
            <w:r w:rsidRPr="00AB1260">
              <w:rPr>
                <w:rFonts w:ascii="Times New Roman" w:hAnsi="Times New Roman"/>
              </w:rPr>
              <w:t>Key Issue #4: Support of roaming of mobile base station relays</w:t>
            </w:r>
          </w:p>
        </w:tc>
        <w:tc>
          <w:tcPr>
            <w:tcW w:w="4909" w:type="dxa"/>
            <w:tcBorders>
              <w:top w:val="single" w:sz="4" w:space="0" w:color="auto"/>
              <w:left w:val="single" w:sz="4" w:space="0" w:color="auto"/>
              <w:bottom w:val="single" w:sz="4" w:space="0" w:color="auto"/>
              <w:right w:val="single" w:sz="4" w:space="0" w:color="auto"/>
            </w:tcBorders>
            <w:vAlign w:val="center"/>
            <w:hideMark/>
          </w:tcPr>
          <w:p w14:paraId="293508D6"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One point may have RAN3 impact, which is related to KI#1</w:t>
            </w:r>
          </w:p>
          <w:p w14:paraId="5FE1A1F3" w14:textId="2BA92018" w:rsidR="007C3D55" w:rsidRPr="00AB1260" w:rsidRDefault="007C3D55" w:rsidP="00CB7416">
            <w:pPr>
              <w:pStyle w:val="TAL"/>
              <w:rPr>
                <w:rFonts w:ascii="Times New Roman" w:hAnsi="Times New Roman"/>
                <w:lang w:eastAsia="ja-JP"/>
              </w:rPr>
            </w:pPr>
          </w:p>
        </w:tc>
        <w:tc>
          <w:tcPr>
            <w:tcW w:w="1142" w:type="dxa"/>
            <w:tcBorders>
              <w:top w:val="single" w:sz="4" w:space="0" w:color="auto"/>
              <w:left w:val="single" w:sz="4" w:space="0" w:color="auto"/>
              <w:bottom w:val="single" w:sz="4" w:space="0" w:color="auto"/>
              <w:right w:val="single" w:sz="4" w:space="0" w:color="auto"/>
            </w:tcBorders>
            <w:vAlign w:val="center"/>
          </w:tcPr>
          <w:p w14:paraId="144B38A8" w14:textId="4746ECBF"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None</w:t>
            </w:r>
          </w:p>
        </w:tc>
        <w:tc>
          <w:tcPr>
            <w:tcW w:w="1311" w:type="dxa"/>
            <w:tcBorders>
              <w:top w:val="single" w:sz="4" w:space="0" w:color="auto"/>
              <w:left w:val="single" w:sz="4" w:space="0" w:color="auto"/>
              <w:bottom w:val="single" w:sz="4" w:space="0" w:color="auto"/>
              <w:right w:val="single" w:sz="4" w:space="0" w:color="auto"/>
            </w:tcBorders>
            <w:vAlign w:val="center"/>
          </w:tcPr>
          <w:p w14:paraId="24C95475" w14:textId="5D245C7E"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w:t>
            </w:r>
          </w:p>
        </w:tc>
      </w:tr>
      <w:tr w:rsidR="007C3D55" w:rsidRPr="00BA57EA" w14:paraId="482439CB" w14:textId="5AB9D4A9" w:rsidTr="00CB7416">
        <w:trPr>
          <w:trHeight w:val="705"/>
        </w:trPr>
        <w:tc>
          <w:tcPr>
            <w:tcW w:w="2085" w:type="dxa"/>
            <w:tcBorders>
              <w:top w:val="single" w:sz="4" w:space="0" w:color="auto"/>
              <w:left w:val="single" w:sz="4" w:space="0" w:color="auto"/>
              <w:bottom w:val="single" w:sz="4" w:space="0" w:color="auto"/>
              <w:right w:val="single" w:sz="4" w:space="0" w:color="auto"/>
            </w:tcBorders>
            <w:vAlign w:val="center"/>
            <w:hideMark/>
          </w:tcPr>
          <w:p w14:paraId="38458EA8" w14:textId="77777777" w:rsidR="007C3D55" w:rsidRPr="00AB1260" w:rsidRDefault="007C3D55" w:rsidP="00CB7416">
            <w:pPr>
              <w:pStyle w:val="TAL"/>
              <w:rPr>
                <w:rFonts w:ascii="Times New Roman" w:hAnsi="Times New Roman"/>
              </w:rPr>
            </w:pPr>
            <w:r w:rsidRPr="0042640A">
              <w:rPr>
                <w:rFonts w:ascii="Times New Roman" w:hAnsi="Times New Roman"/>
              </w:rPr>
              <w:t>Key Issue #5: Support of location services for UEs accessing via a mobile base station relay</w:t>
            </w:r>
          </w:p>
        </w:tc>
        <w:tc>
          <w:tcPr>
            <w:tcW w:w="4909" w:type="dxa"/>
            <w:tcBorders>
              <w:top w:val="single" w:sz="4" w:space="0" w:color="auto"/>
              <w:left w:val="single" w:sz="4" w:space="0" w:color="auto"/>
              <w:bottom w:val="single" w:sz="4" w:space="0" w:color="auto"/>
              <w:right w:val="single" w:sz="4" w:space="0" w:color="auto"/>
            </w:tcBorders>
            <w:vAlign w:val="center"/>
            <w:hideMark/>
          </w:tcPr>
          <w:p w14:paraId="46EA918F"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To support SA2’s conclusion, RAN3 needs to discuss:</w:t>
            </w:r>
          </w:p>
          <w:p w14:paraId="2FDEE67A"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xml:space="preserve">-  How to introduce GPSI as IAB-MT’s ID over F1AP, </w:t>
            </w:r>
            <w:proofErr w:type="spellStart"/>
            <w:r w:rsidRPr="00AB1260">
              <w:rPr>
                <w:rFonts w:ascii="Times New Roman" w:hAnsi="Times New Roman"/>
                <w:lang w:eastAsia="ja-JP"/>
              </w:rPr>
              <w:t>NRPPa</w:t>
            </w:r>
            <w:proofErr w:type="spellEnd"/>
            <w:r w:rsidRPr="00AB1260">
              <w:rPr>
                <w:rFonts w:ascii="Times New Roman" w:hAnsi="Times New Roman"/>
                <w:lang w:eastAsia="ja-JP"/>
              </w:rPr>
              <w:t xml:space="preserve"> and NGAP</w:t>
            </w:r>
          </w:p>
          <w:p w14:paraId="153CB3C2"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How to update the mapping relation if the cell identity is changed.</w:t>
            </w:r>
          </w:p>
          <w:p w14:paraId="54C8E05C"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H</w:t>
            </w:r>
            <w:r w:rsidRPr="00AB1260">
              <w:rPr>
                <w:rFonts w:ascii="Times New Roman" w:hAnsi="Times New Roman" w:hint="eastAsia"/>
                <w:lang w:eastAsia="ja-JP"/>
              </w:rPr>
              <w:t>ow</w:t>
            </w:r>
            <w:r w:rsidRPr="00AB1260">
              <w:rPr>
                <w:rFonts w:ascii="Times New Roman" w:hAnsi="Times New Roman"/>
                <w:lang w:eastAsia="ja-JP"/>
              </w:rPr>
              <w:t xml:space="preserve"> </w:t>
            </w:r>
            <w:r w:rsidRPr="00AB1260">
              <w:rPr>
                <w:rFonts w:ascii="Times New Roman" w:hAnsi="Times New Roman" w:hint="eastAsia"/>
                <w:lang w:eastAsia="ja-JP"/>
              </w:rPr>
              <w:t>the</w:t>
            </w:r>
            <w:r w:rsidRPr="00AB1260">
              <w:rPr>
                <w:rFonts w:ascii="Times New Roman" w:hAnsi="Times New Roman"/>
                <w:lang w:eastAsia="ja-JP"/>
              </w:rPr>
              <w:t xml:space="preserve"> AMF serving UE </w:t>
            </w:r>
            <w:r w:rsidRPr="00AB1260">
              <w:rPr>
                <w:rFonts w:ascii="Times New Roman" w:hAnsi="Times New Roman" w:hint="eastAsia"/>
                <w:lang w:eastAsia="ja-JP"/>
              </w:rPr>
              <w:t>obtains</w:t>
            </w:r>
            <w:r w:rsidRPr="00AB1260">
              <w:rPr>
                <w:rFonts w:ascii="Times New Roman" w:hAnsi="Times New Roman"/>
                <w:lang w:eastAsia="ja-JP"/>
              </w:rPr>
              <w:t xml:space="preserve"> </w:t>
            </w:r>
            <w:r w:rsidRPr="00AB1260">
              <w:rPr>
                <w:rFonts w:ascii="Times New Roman" w:hAnsi="Times New Roman" w:hint="eastAsia"/>
                <w:lang w:eastAsia="ja-JP"/>
              </w:rPr>
              <w:t>the</w:t>
            </w:r>
            <w:r w:rsidRPr="00AB1260">
              <w:rPr>
                <w:rFonts w:ascii="Times New Roman" w:hAnsi="Times New Roman"/>
                <w:lang w:eastAsia="ja-JP"/>
              </w:rPr>
              <w:t xml:space="preserve"> IAB-MT ID in the following cases:</w:t>
            </w:r>
          </w:p>
          <w:p w14:paraId="3953FCD1"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xml:space="preserve"> -- the IAB-MT and IAB-DU area connected to the same IAB-donor-CU</w:t>
            </w:r>
          </w:p>
          <w:p w14:paraId="6616BE22"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the IAB-MT and IAB-DU are connected to different IAB-donor-CUs</w:t>
            </w:r>
          </w:p>
          <w:p w14:paraId="2605D0B3" w14:textId="77777777" w:rsidR="007C3D55" w:rsidRPr="00AB1260" w:rsidRDefault="007C3D55" w:rsidP="00CB7416">
            <w:pPr>
              <w:pStyle w:val="TAL"/>
              <w:rPr>
                <w:rFonts w:ascii="Times New Roman" w:hAnsi="Times New Roman"/>
                <w:lang w:eastAsia="ja-JP"/>
              </w:rPr>
            </w:pPr>
          </w:p>
        </w:tc>
        <w:tc>
          <w:tcPr>
            <w:tcW w:w="1142" w:type="dxa"/>
            <w:tcBorders>
              <w:top w:val="single" w:sz="4" w:space="0" w:color="auto"/>
              <w:left w:val="single" w:sz="4" w:space="0" w:color="auto"/>
              <w:bottom w:val="single" w:sz="4" w:space="0" w:color="auto"/>
              <w:right w:val="single" w:sz="4" w:space="0" w:color="auto"/>
            </w:tcBorders>
            <w:vAlign w:val="center"/>
          </w:tcPr>
          <w:p w14:paraId="26202E2A" w14:textId="199C7F47" w:rsidR="007C3D55" w:rsidRPr="00AB1260" w:rsidRDefault="007C3D55" w:rsidP="00CB7416">
            <w:pPr>
              <w:pStyle w:val="TAL"/>
              <w:jc w:val="center"/>
              <w:rPr>
                <w:rFonts w:ascii="Times New Roman" w:hAnsi="Times New Roman"/>
                <w:lang w:eastAsia="ja-JP"/>
              </w:rPr>
            </w:pPr>
            <w:r w:rsidRPr="00AB1260">
              <w:rPr>
                <w:rFonts w:ascii="Times New Roman" w:hAnsi="Times New Roman"/>
                <w:lang w:eastAsia="ja-JP"/>
              </w:rPr>
              <w:t>Moderate</w:t>
            </w:r>
          </w:p>
        </w:tc>
        <w:tc>
          <w:tcPr>
            <w:tcW w:w="1311" w:type="dxa"/>
            <w:tcBorders>
              <w:top w:val="single" w:sz="4" w:space="0" w:color="auto"/>
              <w:left w:val="single" w:sz="4" w:space="0" w:color="auto"/>
              <w:bottom w:val="single" w:sz="4" w:space="0" w:color="auto"/>
              <w:right w:val="single" w:sz="4" w:space="0" w:color="auto"/>
            </w:tcBorders>
            <w:vAlign w:val="center"/>
          </w:tcPr>
          <w:p w14:paraId="3B97C1C6" w14:textId="03BC9AB4"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High</w:t>
            </w:r>
          </w:p>
        </w:tc>
      </w:tr>
      <w:tr w:rsidR="007C3D55" w:rsidRPr="00BA57EA" w14:paraId="6A104C28" w14:textId="47F18B77" w:rsidTr="00CB7416">
        <w:trPr>
          <w:trHeight w:val="527"/>
        </w:trPr>
        <w:tc>
          <w:tcPr>
            <w:tcW w:w="2085" w:type="dxa"/>
            <w:tcBorders>
              <w:top w:val="single" w:sz="4" w:space="0" w:color="auto"/>
              <w:left w:val="single" w:sz="4" w:space="0" w:color="auto"/>
              <w:bottom w:val="single" w:sz="4" w:space="0" w:color="auto"/>
              <w:right w:val="single" w:sz="4" w:space="0" w:color="auto"/>
            </w:tcBorders>
            <w:vAlign w:val="center"/>
            <w:hideMark/>
          </w:tcPr>
          <w:p w14:paraId="1666807F" w14:textId="41D9FEC8" w:rsidR="007C3D55" w:rsidRPr="00AB1260" w:rsidRDefault="007C3D55" w:rsidP="00CB7416">
            <w:pPr>
              <w:pStyle w:val="TAL"/>
              <w:rPr>
                <w:rFonts w:ascii="Times New Roman" w:hAnsi="Times New Roman"/>
              </w:rPr>
            </w:pPr>
            <w:r w:rsidRPr="0042640A">
              <w:rPr>
                <w:rFonts w:ascii="Times New Roman" w:hAnsi="Times New Roman"/>
              </w:rPr>
              <w:t>Key Issue #</w:t>
            </w:r>
            <w:r w:rsidR="00602E0A">
              <w:rPr>
                <w:rFonts w:ascii="Times New Roman" w:hAnsi="Times New Roman"/>
              </w:rPr>
              <w:t>6</w:t>
            </w:r>
            <w:r w:rsidRPr="0042640A">
              <w:rPr>
                <w:rFonts w:ascii="Times New Roman" w:hAnsi="Times New Roman"/>
              </w:rPr>
              <w:t xml:space="preserve">: </w:t>
            </w:r>
            <w:r w:rsidR="00602E0A" w:rsidRPr="00602E0A">
              <w:rPr>
                <w:rFonts w:ascii="Times New Roman" w:hAnsi="Times New Roman"/>
              </w:rPr>
              <w:t>Provide cell ID/TAC of mobile base station relay for services</w:t>
            </w:r>
          </w:p>
        </w:tc>
        <w:tc>
          <w:tcPr>
            <w:tcW w:w="4909" w:type="dxa"/>
            <w:tcBorders>
              <w:top w:val="single" w:sz="4" w:space="0" w:color="auto"/>
              <w:left w:val="single" w:sz="4" w:space="0" w:color="auto"/>
              <w:bottom w:val="single" w:sz="4" w:space="0" w:color="auto"/>
              <w:right w:val="single" w:sz="4" w:space="0" w:color="auto"/>
            </w:tcBorders>
            <w:vAlign w:val="center"/>
            <w:hideMark/>
          </w:tcPr>
          <w:p w14:paraId="00B3EDCD"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How to provide additional ULI to the UE AMF?  May have NG impact</w:t>
            </w:r>
          </w:p>
          <w:p w14:paraId="2B229DE6" w14:textId="65C1A6C3"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 xml:space="preserve">- how the donor-CU of </w:t>
            </w:r>
            <w:proofErr w:type="spellStart"/>
            <w:r w:rsidRPr="00AB1260">
              <w:rPr>
                <w:rFonts w:ascii="Times New Roman" w:hAnsi="Times New Roman"/>
                <w:lang w:eastAsia="ja-JP"/>
              </w:rPr>
              <w:t>mIAB</w:t>
            </w:r>
            <w:proofErr w:type="spellEnd"/>
            <w:r w:rsidRPr="00AB1260">
              <w:rPr>
                <w:rFonts w:ascii="Times New Roman" w:hAnsi="Times New Roman"/>
                <w:lang w:eastAsia="ja-JP"/>
              </w:rPr>
              <w:t xml:space="preserve">-DU obtain IAB-MT’s ULI for the case that IAB-MT and IAB-DU are connected to different IAB-donor-CUs, this may have </w:t>
            </w:r>
            <w:proofErr w:type="spellStart"/>
            <w:r w:rsidRPr="00AB1260">
              <w:rPr>
                <w:rFonts w:ascii="Times New Roman" w:hAnsi="Times New Roman"/>
                <w:lang w:eastAsia="ja-JP"/>
              </w:rPr>
              <w:t>XnAP</w:t>
            </w:r>
            <w:proofErr w:type="spellEnd"/>
            <w:r w:rsidRPr="00AB1260">
              <w:rPr>
                <w:rFonts w:ascii="Times New Roman" w:hAnsi="Times New Roman"/>
                <w:lang w:eastAsia="ja-JP"/>
              </w:rPr>
              <w:t xml:space="preserve"> impact</w:t>
            </w:r>
          </w:p>
        </w:tc>
        <w:tc>
          <w:tcPr>
            <w:tcW w:w="1142" w:type="dxa"/>
            <w:tcBorders>
              <w:top w:val="single" w:sz="4" w:space="0" w:color="auto"/>
              <w:left w:val="single" w:sz="4" w:space="0" w:color="auto"/>
              <w:bottom w:val="single" w:sz="4" w:space="0" w:color="auto"/>
              <w:right w:val="single" w:sz="4" w:space="0" w:color="auto"/>
            </w:tcBorders>
            <w:vAlign w:val="center"/>
          </w:tcPr>
          <w:p w14:paraId="18803976" w14:textId="05E079E6"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Low</w:t>
            </w:r>
          </w:p>
        </w:tc>
        <w:tc>
          <w:tcPr>
            <w:tcW w:w="1311" w:type="dxa"/>
            <w:tcBorders>
              <w:top w:val="single" w:sz="4" w:space="0" w:color="auto"/>
              <w:left w:val="single" w:sz="4" w:space="0" w:color="auto"/>
              <w:bottom w:val="single" w:sz="4" w:space="0" w:color="auto"/>
              <w:right w:val="single" w:sz="4" w:space="0" w:color="auto"/>
            </w:tcBorders>
            <w:vAlign w:val="center"/>
          </w:tcPr>
          <w:p w14:paraId="0A29268F" w14:textId="2513055E"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High</w:t>
            </w:r>
          </w:p>
        </w:tc>
      </w:tr>
      <w:tr w:rsidR="007C3D55" w:rsidRPr="00BA57EA" w14:paraId="05B04892" w14:textId="0CCF8D73" w:rsidTr="00CB7416">
        <w:trPr>
          <w:trHeight w:val="705"/>
        </w:trPr>
        <w:tc>
          <w:tcPr>
            <w:tcW w:w="2085" w:type="dxa"/>
            <w:tcBorders>
              <w:top w:val="single" w:sz="4" w:space="0" w:color="auto"/>
              <w:left w:val="single" w:sz="4" w:space="0" w:color="auto"/>
              <w:bottom w:val="single" w:sz="4" w:space="0" w:color="auto"/>
              <w:right w:val="single" w:sz="4" w:space="0" w:color="auto"/>
            </w:tcBorders>
            <w:vAlign w:val="center"/>
            <w:hideMark/>
          </w:tcPr>
          <w:p w14:paraId="20890DE3" w14:textId="77777777" w:rsidR="007C3D55" w:rsidRPr="00AB1260" w:rsidRDefault="007C3D55" w:rsidP="00CB7416">
            <w:pPr>
              <w:pStyle w:val="TAL"/>
              <w:rPr>
                <w:rFonts w:ascii="Times New Roman" w:hAnsi="Times New Roman"/>
              </w:rPr>
            </w:pPr>
            <w:r w:rsidRPr="0031027D">
              <w:rPr>
                <w:rFonts w:ascii="Times New Roman" w:hAnsi="Times New Roman"/>
              </w:rPr>
              <w:t>Key Issue #7: Control of UE's access to 5GS via a mobile base station relay</w:t>
            </w:r>
          </w:p>
        </w:tc>
        <w:tc>
          <w:tcPr>
            <w:tcW w:w="4909" w:type="dxa"/>
            <w:tcBorders>
              <w:top w:val="single" w:sz="4" w:space="0" w:color="auto"/>
              <w:left w:val="single" w:sz="4" w:space="0" w:color="auto"/>
              <w:bottom w:val="single" w:sz="4" w:space="0" w:color="auto"/>
              <w:right w:val="single" w:sz="4" w:space="0" w:color="auto"/>
            </w:tcBorders>
            <w:vAlign w:val="center"/>
            <w:hideMark/>
          </w:tcPr>
          <w:p w14:paraId="78665D9D" w14:textId="77777777" w:rsidR="007C3D55" w:rsidRPr="00AB1260" w:rsidRDefault="007C3D55" w:rsidP="00CB7416">
            <w:pPr>
              <w:pStyle w:val="TAL"/>
              <w:rPr>
                <w:rFonts w:ascii="Times New Roman" w:hAnsi="Times New Roman"/>
                <w:lang w:eastAsia="ja-JP"/>
              </w:rPr>
            </w:pPr>
            <w:r w:rsidRPr="00AB1260">
              <w:rPr>
                <w:rFonts w:ascii="Times New Roman" w:hAnsi="Times New Roman"/>
                <w:lang w:eastAsia="ja-JP"/>
              </w:rPr>
              <w:t>No RAN3’s further work at current stage.</w:t>
            </w:r>
          </w:p>
          <w:p w14:paraId="0A22465A" w14:textId="77777777" w:rsidR="007C3D55" w:rsidRPr="00AB1260" w:rsidRDefault="007C3D55" w:rsidP="00CB7416">
            <w:pPr>
              <w:pStyle w:val="TAL"/>
              <w:rPr>
                <w:rFonts w:ascii="Times New Roman" w:hAnsi="Times New Roman"/>
                <w:lang w:eastAsia="ja-JP"/>
              </w:rPr>
            </w:pPr>
          </w:p>
          <w:p w14:paraId="61C2B540" w14:textId="77777777" w:rsidR="007C3D55" w:rsidRPr="00AB1260" w:rsidRDefault="007C3D55" w:rsidP="00CB7416">
            <w:pPr>
              <w:pStyle w:val="TAL"/>
              <w:rPr>
                <w:rFonts w:ascii="Times New Roman" w:hAnsi="Times New Roman"/>
                <w:lang w:eastAsia="ja-JP"/>
              </w:rPr>
            </w:pPr>
          </w:p>
        </w:tc>
        <w:tc>
          <w:tcPr>
            <w:tcW w:w="1142" w:type="dxa"/>
            <w:tcBorders>
              <w:top w:val="single" w:sz="4" w:space="0" w:color="auto"/>
              <w:left w:val="single" w:sz="4" w:space="0" w:color="auto"/>
              <w:bottom w:val="single" w:sz="4" w:space="0" w:color="auto"/>
              <w:right w:val="single" w:sz="4" w:space="0" w:color="auto"/>
            </w:tcBorders>
            <w:vAlign w:val="center"/>
          </w:tcPr>
          <w:p w14:paraId="11723F7C" w14:textId="0FB1231B"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None</w:t>
            </w:r>
          </w:p>
        </w:tc>
        <w:tc>
          <w:tcPr>
            <w:tcW w:w="1311" w:type="dxa"/>
            <w:tcBorders>
              <w:top w:val="single" w:sz="4" w:space="0" w:color="auto"/>
              <w:left w:val="single" w:sz="4" w:space="0" w:color="auto"/>
              <w:bottom w:val="single" w:sz="4" w:space="0" w:color="auto"/>
              <w:right w:val="single" w:sz="4" w:space="0" w:color="auto"/>
            </w:tcBorders>
            <w:vAlign w:val="center"/>
          </w:tcPr>
          <w:p w14:paraId="66FA2F31" w14:textId="3556C730" w:rsidR="007C3D55" w:rsidRPr="00AB1260" w:rsidRDefault="007C3D55" w:rsidP="00CB7416">
            <w:pPr>
              <w:pStyle w:val="TAL"/>
              <w:jc w:val="center"/>
              <w:rPr>
                <w:rFonts w:ascii="Times New Roman" w:hAnsi="Times New Roman"/>
                <w:lang w:eastAsia="ja-JP"/>
              </w:rPr>
            </w:pPr>
            <w:r>
              <w:rPr>
                <w:rFonts w:ascii="Times New Roman" w:hAnsi="Times New Roman"/>
                <w:lang w:eastAsia="ja-JP"/>
              </w:rPr>
              <w:t>-</w:t>
            </w:r>
          </w:p>
        </w:tc>
      </w:tr>
    </w:tbl>
    <w:p w14:paraId="7717811A" w14:textId="77777777" w:rsidR="00AB1260" w:rsidRDefault="00AB1260" w:rsidP="00101E3F">
      <w:pPr>
        <w:rPr>
          <w:b/>
          <w:szCs w:val="21"/>
        </w:rPr>
      </w:pPr>
    </w:p>
    <w:p w14:paraId="24F6DF8C" w14:textId="0B762A94" w:rsidR="00676E33" w:rsidRPr="00CB7416" w:rsidRDefault="007F437C" w:rsidP="00101E3F">
      <w:pPr>
        <w:rPr>
          <w:b/>
          <w:sz w:val="22"/>
          <w:szCs w:val="21"/>
        </w:rPr>
      </w:pPr>
      <w:r w:rsidRPr="00CB7416">
        <w:rPr>
          <w:b/>
          <w:sz w:val="22"/>
          <w:szCs w:val="21"/>
        </w:rPr>
        <w:t>Observation</w:t>
      </w:r>
      <w:r w:rsidR="00CB7416">
        <w:rPr>
          <w:b/>
          <w:sz w:val="22"/>
          <w:szCs w:val="21"/>
        </w:rPr>
        <w:t xml:space="preserve"> 10</w:t>
      </w:r>
      <w:r w:rsidRPr="00CB7416">
        <w:rPr>
          <w:b/>
          <w:sz w:val="22"/>
          <w:szCs w:val="21"/>
        </w:rPr>
        <w:t xml:space="preserve">, there’s a lot of RAN impacts to solve the </w:t>
      </w:r>
      <w:r w:rsidR="00CB7416" w:rsidRPr="00CB7416">
        <w:rPr>
          <w:b/>
          <w:sz w:val="22"/>
          <w:szCs w:val="21"/>
        </w:rPr>
        <w:t>key issues</w:t>
      </w:r>
      <w:r w:rsidRPr="00CB7416">
        <w:rPr>
          <w:b/>
          <w:sz w:val="22"/>
          <w:szCs w:val="21"/>
        </w:rPr>
        <w:t xml:space="preserve"> raised by SA2 and RAN3 has limited TU.</w:t>
      </w:r>
    </w:p>
    <w:p w14:paraId="59EA10F5" w14:textId="391873AB" w:rsidR="007F437C" w:rsidRPr="00CB7416" w:rsidRDefault="007F437C" w:rsidP="00101E3F">
      <w:pPr>
        <w:rPr>
          <w:b/>
          <w:sz w:val="22"/>
          <w:szCs w:val="21"/>
        </w:rPr>
      </w:pPr>
      <w:r w:rsidRPr="00CB7416">
        <w:rPr>
          <w:b/>
          <w:sz w:val="22"/>
          <w:szCs w:val="21"/>
        </w:rPr>
        <w:t>Proposal</w:t>
      </w:r>
      <w:r w:rsidR="00CB7416">
        <w:rPr>
          <w:b/>
          <w:sz w:val="22"/>
          <w:szCs w:val="21"/>
        </w:rPr>
        <w:t xml:space="preserve"> 12</w:t>
      </w:r>
      <w:r w:rsidRPr="00CB7416">
        <w:rPr>
          <w:b/>
          <w:sz w:val="22"/>
          <w:szCs w:val="21"/>
        </w:rPr>
        <w:t>, RAN3 to discuss the support priority for the Key issues that have RAN3 impacts.</w:t>
      </w:r>
    </w:p>
    <w:bookmarkEnd w:id="1"/>
    <w:p w14:paraId="0D110258" w14:textId="77777777" w:rsidR="00CD4C7B" w:rsidRPr="006E13D1" w:rsidRDefault="00972FD7" w:rsidP="00CD4C7B">
      <w:pPr>
        <w:pStyle w:val="1"/>
      </w:pPr>
      <w:r>
        <w:t>3</w:t>
      </w:r>
      <w:r w:rsidR="00CD4C7B" w:rsidRPr="006E13D1">
        <w:tab/>
      </w:r>
      <w:r>
        <w:t>Conclusion</w:t>
      </w:r>
    </w:p>
    <w:p w14:paraId="6093981F" w14:textId="5C40D7D2" w:rsidR="00CD4C7B" w:rsidRDefault="00DD41D3" w:rsidP="00CD4C7B">
      <w:r>
        <w:t xml:space="preserve">In this contribution, we discussed </w:t>
      </w:r>
      <w:r w:rsidR="00DC74C1">
        <w:t xml:space="preserve">the LS </w:t>
      </w:r>
      <w:r w:rsidR="00DC74C1" w:rsidRPr="00DC74C1">
        <w:t>of FS_VMR solutions review</w:t>
      </w:r>
      <w:r w:rsidR="00DC74C1">
        <w:t xml:space="preserve"> from SA2, RAN3’s status and our understanding on the issues studied in SA2</w:t>
      </w:r>
      <w:r>
        <w:t xml:space="preserve">, and we had the following observations and proposals: </w:t>
      </w:r>
    </w:p>
    <w:p w14:paraId="11A05A15" w14:textId="77777777" w:rsidR="00CB7416" w:rsidRPr="00BC2DA2" w:rsidRDefault="00CB7416" w:rsidP="00CB7416">
      <w:pPr>
        <w:pStyle w:val="B1"/>
        <w:ind w:left="0" w:firstLine="0"/>
        <w:rPr>
          <w:b/>
          <w:sz w:val="22"/>
        </w:rPr>
      </w:pPr>
      <w:r w:rsidRPr="00BC2DA2">
        <w:rPr>
          <w:b/>
          <w:sz w:val="22"/>
        </w:rPr>
        <w:t>Observation 1, it would be very helpful if the operation related information (e.g. Geographic restrictions, allowed PLMNs, allowed operation time and/or speed) can be provided</w:t>
      </w:r>
      <w:r>
        <w:rPr>
          <w:b/>
          <w:sz w:val="22"/>
        </w:rPr>
        <w:t xml:space="preserve"> to IAB-donor for better UE mobility management</w:t>
      </w:r>
      <w:r w:rsidRPr="00BC2DA2">
        <w:rPr>
          <w:b/>
          <w:sz w:val="22"/>
        </w:rPr>
        <w:t>.</w:t>
      </w:r>
    </w:p>
    <w:p w14:paraId="4FAC82C9" w14:textId="2E63449F" w:rsidR="00CB7416" w:rsidRDefault="00CB7416" w:rsidP="00CB7416">
      <w:pPr>
        <w:pStyle w:val="B1"/>
        <w:ind w:left="0" w:firstLine="0"/>
        <w:rPr>
          <w:b/>
          <w:sz w:val="22"/>
        </w:rPr>
      </w:pPr>
      <w:r w:rsidRPr="00BC2DA2">
        <w:rPr>
          <w:b/>
          <w:sz w:val="22"/>
        </w:rPr>
        <w:t>Proposal</w:t>
      </w:r>
      <w:r>
        <w:rPr>
          <w:b/>
          <w:sz w:val="22"/>
        </w:rPr>
        <w:t xml:space="preserve"> 1</w:t>
      </w:r>
      <w:r w:rsidRPr="00BC2DA2">
        <w:rPr>
          <w:b/>
          <w:sz w:val="22"/>
        </w:rPr>
        <w:t xml:space="preserve">, RAN3 answers to SA2 </w:t>
      </w:r>
      <w:r>
        <w:rPr>
          <w:b/>
          <w:sz w:val="22"/>
        </w:rPr>
        <w:t xml:space="preserve">that </w:t>
      </w:r>
      <w:r w:rsidRPr="00BC2DA2">
        <w:rPr>
          <w:b/>
          <w:sz w:val="22"/>
        </w:rPr>
        <w:t>operation related information</w:t>
      </w:r>
      <w:r>
        <w:rPr>
          <w:b/>
          <w:sz w:val="22"/>
        </w:rPr>
        <w:t xml:space="preserve"> can be provided as additional IAB authorization or UE policy information to IAB-donor-CU</w:t>
      </w:r>
      <w:r w:rsidRPr="00BC2DA2">
        <w:rPr>
          <w:b/>
          <w:sz w:val="22"/>
        </w:rPr>
        <w:t>.</w:t>
      </w:r>
    </w:p>
    <w:p w14:paraId="59438E62" w14:textId="77777777" w:rsidR="00CB7416" w:rsidRPr="00700394" w:rsidRDefault="00CB7416" w:rsidP="00CB7416">
      <w:pPr>
        <w:pStyle w:val="B1"/>
        <w:ind w:left="0" w:firstLine="0"/>
        <w:rPr>
          <w:b/>
          <w:sz w:val="22"/>
        </w:rPr>
      </w:pPr>
      <w:r w:rsidRPr="00700394">
        <w:rPr>
          <w:b/>
          <w:sz w:val="22"/>
        </w:rPr>
        <w:t>Observation 2, RAN3 agreed to support dynamic TAC.</w:t>
      </w:r>
    </w:p>
    <w:p w14:paraId="0FBA3CBE" w14:textId="77777777" w:rsidR="00CB7416" w:rsidRPr="00700394" w:rsidRDefault="00CB7416" w:rsidP="00CB7416">
      <w:pPr>
        <w:pStyle w:val="B1"/>
        <w:ind w:left="0" w:firstLine="0"/>
        <w:rPr>
          <w:b/>
          <w:sz w:val="22"/>
        </w:rPr>
      </w:pPr>
      <w:r w:rsidRPr="00700394">
        <w:rPr>
          <w:b/>
          <w:sz w:val="22"/>
        </w:rPr>
        <w:t>Proposal 2, RAN3 answers to SA2 that RAN3 agree to support dynamic TAC and the potential impacts (if any) can be updated according to the discussion.</w:t>
      </w:r>
    </w:p>
    <w:p w14:paraId="4D11A017" w14:textId="77777777" w:rsidR="00CB7416" w:rsidRPr="00BA57EA" w:rsidRDefault="00CB7416" w:rsidP="00CB7416">
      <w:pPr>
        <w:pStyle w:val="B1"/>
        <w:ind w:left="0" w:firstLine="0"/>
        <w:rPr>
          <w:b/>
          <w:sz w:val="22"/>
        </w:rPr>
      </w:pPr>
      <w:r w:rsidRPr="00BA57EA">
        <w:rPr>
          <w:b/>
          <w:sz w:val="22"/>
        </w:rPr>
        <w:t>Observation</w:t>
      </w:r>
      <w:r>
        <w:rPr>
          <w:b/>
          <w:sz w:val="22"/>
        </w:rPr>
        <w:t xml:space="preserve"> 3</w:t>
      </w:r>
      <w:r w:rsidRPr="00BA57EA">
        <w:rPr>
          <w:b/>
          <w:sz w:val="22"/>
        </w:rPr>
        <w:t>, one point about additional configuration in KI#4 has relation to KI#1, others have no RAN3 impact.</w:t>
      </w:r>
    </w:p>
    <w:p w14:paraId="3837623B" w14:textId="77777777" w:rsidR="00CB7416" w:rsidRPr="00BA57EA" w:rsidRDefault="00CB7416" w:rsidP="00CB7416">
      <w:pPr>
        <w:pStyle w:val="B1"/>
        <w:ind w:left="0" w:firstLine="0"/>
        <w:rPr>
          <w:b/>
          <w:sz w:val="22"/>
        </w:rPr>
      </w:pPr>
      <w:r w:rsidRPr="00BA57EA">
        <w:rPr>
          <w:b/>
          <w:sz w:val="22"/>
        </w:rPr>
        <w:t xml:space="preserve">Proposal </w:t>
      </w:r>
      <w:r>
        <w:rPr>
          <w:b/>
          <w:sz w:val="22"/>
        </w:rPr>
        <w:t>3</w:t>
      </w:r>
      <w:r w:rsidRPr="00BA57EA">
        <w:rPr>
          <w:b/>
          <w:sz w:val="22"/>
        </w:rPr>
        <w:t xml:space="preserve">, </w:t>
      </w:r>
      <w:r w:rsidRPr="00700394">
        <w:rPr>
          <w:b/>
          <w:sz w:val="22"/>
        </w:rPr>
        <w:t xml:space="preserve">RAN3 answers to SA2 that </w:t>
      </w:r>
      <w:r>
        <w:rPr>
          <w:b/>
          <w:sz w:val="22"/>
        </w:rPr>
        <w:t>RAN3 acknowledge SA2’s conclusion and will notify SA2 if full migration specification work completes.</w:t>
      </w:r>
    </w:p>
    <w:p w14:paraId="0F4E9CC3" w14:textId="77777777" w:rsidR="00CB7416" w:rsidRPr="00F9580C" w:rsidRDefault="00CB7416" w:rsidP="00CB7416">
      <w:pPr>
        <w:pStyle w:val="B1"/>
        <w:ind w:left="0" w:firstLine="0"/>
        <w:rPr>
          <w:b/>
          <w:sz w:val="22"/>
        </w:rPr>
      </w:pPr>
      <w:r w:rsidRPr="00F9580C">
        <w:rPr>
          <w:b/>
          <w:sz w:val="22"/>
        </w:rPr>
        <w:lastRenderedPageBreak/>
        <w:t xml:space="preserve">Observation </w:t>
      </w:r>
      <w:r>
        <w:rPr>
          <w:b/>
          <w:sz w:val="22"/>
        </w:rPr>
        <w:t>4</w:t>
      </w:r>
      <w:r w:rsidRPr="00F9580C">
        <w:rPr>
          <w:b/>
          <w:sz w:val="22"/>
        </w:rPr>
        <w:t>, SA2 conclude that the IAB-MT UE ID (i.e. GPSI) needs to be provided to the AMF serving the UE and LMF.</w:t>
      </w:r>
    </w:p>
    <w:p w14:paraId="55E09DDC" w14:textId="77777777" w:rsidR="00CB7416" w:rsidRPr="00F9580C" w:rsidRDefault="00CB7416" w:rsidP="00CB7416">
      <w:pPr>
        <w:pStyle w:val="B1"/>
        <w:ind w:left="0" w:firstLine="0"/>
        <w:rPr>
          <w:b/>
          <w:sz w:val="22"/>
        </w:rPr>
      </w:pPr>
      <w:r w:rsidRPr="00F9580C">
        <w:rPr>
          <w:b/>
          <w:sz w:val="22"/>
        </w:rPr>
        <w:t>Observation</w:t>
      </w:r>
      <w:r>
        <w:rPr>
          <w:b/>
          <w:sz w:val="22"/>
        </w:rPr>
        <w:t xml:space="preserve"> 5</w:t>
      </w:r>
      <w:r w:rsidRPr="00F9580C">
        <w:rPr>
          <w:b/>
          <w:sz w:val="22"/>
        </w:rPr>
        <w:t>, the mapping relation between cell identify and IAB-MT ID needs to be provided to the AMF serving the UE and LMF.</w:t>
      </w:r>
    </w:p>
    <w:p w14:paraId="2514E388" w14:textId="77777777" w:rsidR="00CB7416" w:rsidRPr="00F9580C" w:rsidRDefault="00CB7416" w:rsidP="00CB7416">
      <w:pPr>
        <w:pStyle w:val="B1"/>
        <w:ind w:left="0" w:firstLine="0"/>
        <w:rPr>
          <w:b/>
          <w:sz w:val="22"/>
        </w:rPr>
      </w:pPr>
      <w:r w:rsidRPr="00F9580C">
        <w:rPr>
          <w:b/>
          <w:sz w:val="22"/>
        </w:rPr>
        <w:t>Observation</w:t>
      </w:r>
      <w:r>
        <w:rPr>
          <w:b/>
          <w:sz w:val="22"/>
        </w:rPr>
        <w:t xml:space="preserve"> 6</w:t>
      </w:r>
      <w:r w:rsidRPr="00F9580C">
        <w:rPr>
          <w:b/>
          <w:sz w:val="22"/>
        </w:rPr>
        <w:t>, exchanging GPSIs between network nodes has no privacy issue as they are used as public identifiers used both inside and outside of the 3GPP system.</w:t>
      </w:r>
    </w:p>
    <w:p w14:paraId="2D698D62" w14:textId="77777777" w:rsidR="00CB7416" w:rsidRPr="00F9580C" w:rsidRDefault="00CB7416" w:rsidP="00CB7416">
      <w:pPr>
        <w:pStyle w:val="B1"/>
        <w:ind w:left="0" w:firstLine="0"/>
        <w:rPr>
          <w:b/>
          <w:sz w:val="22"/>
        </w:rPr>
      </w:pPr>
      <w:r w:rsidRPr="00F9580C">
        <w:rPr>
          <w:b/>
          <w:sz w:val="22"/>
        </w:rPr>
        <w:t>Observation</w:t>
      </w:r>
      <w:r>
        <w:rPr>
          <w:b/>
          <w:sz w:val="22"/>
        </w:rPr>
        <w:t xml:space="preserve"> 7</w:t>
      </w:r>
      <w:r w:rsidRPr="00F9580C">
        <w:rPr>
          <w:b/>
          <w:sz w:val="22"/>
        </w:rPr>
        <w:t>, cell identifies of the mobile IAB may change</w:t>
      </w:r>
      <w:r>
        <w:rPr>
          <w:b/>
          <w:sz w:val="22"/>
        </w:rPr>
        <w:t xml:space="preserve"> frequently</w:t>
      </w:r>
      <w:r w:rsidRPr="00F9580C">
        <w:rPr>
          <w:b/>
          <w:sz w:val="22"/>
        </w:rPr>
        <w:t xml:space="preserve"> if the serving donor-CU is changed</w:t>
      </w:r>
      <w:r>
        <w:rPr>
          <w:b/>
          <w:sz w:val="22"/>
        </w:rPr>
        <w:t xml:space="preserve"> or interference is detected</w:t>
      </w:r>
      <w:r w:rsidRPr="00F9580C">
        <w:rPr>
          <w:b/>
          <w:sz w:val="22"/>
        </w:rPr>
        <w:t>.</w:t>
      </w:r>
    </w:p>
    <w:p w14:paraId="4561AC30" w14:textId="77777777" w:rsidR="00CB7416" w:rsidRDefault="00CB7416" w:rsidP="00CB7416">
      <w:pPr>
        <w:pStyle w:val="B1"/>
        <w:ind w:left="0" w:firstLine="0"/>
        <w:rPr>
          <w:b/>
        </w:rPr>
      </w:pPr>
      <w:r w:rsidRPr="00A30B98">
        <w:rPr>
          <w:b/>
        </w:rPr>
        <w:t>Proposal</w:t>
      </w:r>
      <w:r>
        <w:rPr>
          <w:b/>
        </w:rPr>
        <w:t xml:space="preserve"> 4</w:t>
      </w:r>
      <w:r w:rsidRPr="00A30B98">
        <w:rPr>
          <w:b/>
        </w:rPr>
        <w:t>, RAN3 agree</w:t>
      </w:r>
      <w:r>
        <w:rPr>
          <w:b/>
        </w:rPr>
        <w:t>s GPSI can be used as IAB-MT UE ID within NG-RAN.</w:t>
      </w:r>
    </w:p>
    <w:p w14:paraId="4F178122" w14:textId="59B42C23" w:rsidR="00CB7416" w:rsidRDefault="00CB7416" w:rsidP="00CB7416">
      <w:pPr>
        <w:pStyle w:val="B1"/>
        <w:ind w:left="0" w:firstLine="0"/>
        <w:rPr>
          <w:b/>
        </w:rPr>
      </w:pPr>
      <w:r>
        <w:rPr>
          <w:b/>
        </w:rPr>
        <w:t>Proposal</w:t>
      </w:r>
      <w:r>
        <w:rPr>
          <w:b/>
        </w:rPr>
        <w:t xml:space="preserve"> 5</w:t>
      </w:r>
      <w:r>
        <w:rPr>
          <w:b/>
        </w:rPr>
        <w:t>, RAN3 discuss how to provide and update the mapping relation between the cell identifies and GPSI considering all the scenarios of migration.</w:t>
      </w:r>
    </w:p>
    <w:p w14:paraId="53C1CB12" w14:textId="682312A7" w:rsidR="00CB7416" w:rsidRPr="00A30B98" w:rsidRDefault="00CB7416" w:rsidP="00CB7416">
      <w:pPr>
        <w:pStyle w:val="B1"/>
        <w:ind w:left="0" w:firstLine="0"/>
        <w:rPr>
          <w:b/>
        </w:rPr>
      </w:pPr>
      <w:r>
        <w:rPr>
          <w:b/>
        </w:rPr>
        <w:t xml:space="preserve">Proposal </w:t>
      </w:r>
      <w:r>
        <w:rPr>
          <w:b/>
        </w:rPr>
        <w:t>6</w:t>
      </w:r>
      <w:r>
        <w:rPr>
          <w:b/>
        </w:rPr>
        <w:t>, RAN3 answers SA2 that RAN3 would like to support SA2’s conclusion and needs to further discuss the potential enhancements.</w:t>
      </w:r>
    </w:p>
    <w:p w14:paraId="5A9B9B8B" w14:textId="737512BF" w:rsidR="00CB7416" w:rsidRPr="00A2521A" w:rsidRDefault="00CB7416" w:rsidP="00CB7416">
      <w:pPr>
        <w:rPr>
          <w:b/>
          <w:sz w:val="22"/>
        </w:rPr>
      </w:pPr>
      <w:r w:rsidRPr="00A2521A">
        <w:rPr>
          <w:b/>
          <w:sz w:val="22"/>
          <w:szCs w:val="21"/>
        </w:rPr>
        <w:t xml:space="preserve">Proposal </w:t>
      </w:r>
      <w:r>
        <w:rPr>
          <w:b/>
          <w:sz w:val="22"/>
          <w:szCs w:val="21"/>
        </w:rPr>
        <w:t>7,</w:t>
      </w:r>
      <w:r w:rsidRPr="00A2521A">
        <w:rPr>
          <w:b/>
          <w:sz w:val="22"/>
          <w:szCs w:val="21"/>
        </w:rPr>
        <w:t xml:space="preserve"> RAN3 discuss how to provide the additional ULI of the UE served by mobile IAB.</w:t>
      </w:r>
    </w:p>
    <w:p w14:paraId="1EAB170A" w14:textId="28342D12" w:rsidR="00CB7416" w:rsidRPr="00A2521A" w:rsidRDefault="00CB7416" w:rsidP="00CB7416">
      <w:pPr>
        <w:rPr>
          <w:b/>
          <w:sz w:val="22"/>
        </w:rPr>
      </w:pPr>
      <w:r w:rsidRPr="00A2521A">
        <w:rPr>
          <w:b/>
          <w:sz w:val="22"/>
        </w:rPr>
        <w:t>Proposal</w:t>
      </w:r>
      <w:r>
        <w:rPr>
          <w:b/>
          <w:sz w:val="22"/>
        </w:rPr>
        <w:t xml:space="preserve"> </w:t>
      </w:r>
      <w:r>
        <w:rPr>
          <w:b/>
          <w:sz w:val="22"/>
        </w:rPr>
        <w:t>8</w:t>
      </w:r>
      <w:r w:rsidRPr="00A2521A">
        <w:rPr>
          <w:b/>
          <w:sz w:val="22"/>
        </w:rPr>
        <w:t>, RAN3 agree that IAB-MT’s serving IAB-donor-CU provide the ULI of IAB-MT to IAB-DU’s serving IAB-donor-CU.</w:t>
      </w:r>
    </w:p>
    <w:p w14:paraId="249F918F" w14:textId="67BF4BA6" w:rsidR="00CB7416" w:rsidRPr="00A2521A" w:rsidRDefault="00CB7416" w:rsidP="00CB7416">
      <w:pPr>
        <w:rPr>
          <w:b/>
          <w:sz w:val="22"/>
        </w:rPr>
      </w:pPr>
      <w:r w:rsidRPr="00A2521A">
        <w:rPr>
          <w:b/>
          <w:sz w:val="22"/>
        </w:rPr>
        <w:t>Proposal</w:t>
      </w:r>
      <w:r>
        <w:rPr>
          <w:b/>
          <w:sz w:val="22"/>
        </w:rPr>
        <w:t xml:space="preserve"> </w:t>
      </w:r>
      <w:r>
        <w:rPr>
          <w:b/>
          <w:sz w:val="22"/>
        </w:rPr>
        <w:t>9</w:t>
      </w:r>
      <w:r w:rsidRPr="00A2521A">
        <w:rPr>
          <w:b/>
          <w:sz w:val="22"/>
        </w:rPr>
        <w:t>, RAN3 answers SA2 the solution agreed by RAN3 if any or discussion status.</w:t>
      </w:r>
    </w:p>
    <w:p w14:paraId="1EB28C2B" w14:textId="77777777" w:rsidR="00CB7416" w:rsidRPr="00CB7416" w:rsidRDefault="00CB7416" w:rsidP="00CB7416">
      <w:pPr>
        <w:rPr>
          <w:b/>
          <w:sz w:val="22"/>
          <w:szCs w:val="21"/>
        </w:rPr>
      </w:pPr>
      <w:r w:rsidRPr="00CB7416">
        <w:rPr>
          <w:b/>
          <w:sz w:val="22"/>
          <w:szCs w:val="21"/>
        </w:rPr>
        <w:t>Observation</w:t>
      </w:r>
      <w:r>
        <w:rPr>
          <w:b/>
          <w:sz w:val="22"/>
          <w:szCs w:val="21"/>
        </w:rPr>
        <w:t xml:space="preserve"> 8</w:t>
      </w:r>
      <w:r w:rsidRPr="00CB7416">
        <w:rPr>
          <w:b/>
          <w:sz w:val="22"/>
          <w:szCs w:val="21"/>
        </w:rPr>
        <w:t>, there’s no RAN3 further work at current stage with regard to Key issue#7.</w:t>
      </w:r>
    </w:p>
    <w:p w14:paraId="42B80EBC" w14:textId="77777777" w:rsidR="00CB7416" w:rsidRPr="00CB7416" w:rsidRDefault="00CB7416" w:rsidP="00CB7416">
      <w:pPr>
        <w:rPr>
          <w:b/>
          <w:sz w:val="22"/>
          <w:szCs w:val="21"/>
        </w:rPr>
      </w:pPr>
      <w:r w:rsidRPr="00CB7416">
        <w:rPr>
          <w:b/>
          <w:sz w:val="22"/>
          <w:szCs w:val="21"/>
        </w:rPr>
        <w:t>Observation</w:t>
      </w:r>
      <w:r>
        <w:rPr>
          <w:b/>
          <w:sz w:val="22"/>
          <w:szCs w:val="21"/>
        </w:rPr>
        <w:t xml:space="preserve"> 9</w:t>
      </w:r>
      <w:r w:rsidRPr="00CB7416">
        <w:rPr>
          <w:b/>
          <w:sz w:val="22"/>
          <w:szCs w:val="21"/>
        </w:rPr>
        <w:t>, SA2 decides to use CAG function for UE access control, which can also be used for onboard UE identification, since CAG identifier can be human-readable and be selected by UE manually.</w:t>
      </w:r>
    </w:p>
    <w:p w14:paraId="2A1A1638" w14:textId="7ABC48A0" w:rsidR="00CB7416" w:rsidRPr="00CB7416" w:rsidRDefault="00CB7416" w:rsidP="00CB7416">
      <w:pPr>
        <w:rPr>
          <w:b/>
          <w:sz w:val="22"/>
          <w:szCs w:val="21"/>
        </w:rPr>
      </w:pPr>
      <w:r w:rsidRPr="00CB7416">
        <w:rPr>
          <w:b/>
          <w:sz w:val="22"/>
          <w:szCs w:val="21"/>
        </w:rPr>
        <w:t>Proposal</w:t>
      </w:r>
      <w:r>
        <w:rPr>
          <w:b/>
          <w:sz w:val="22"/>
          <w:szCs w:val="21"/>
        </w:rPr>
        <w:t xml:space="preserve"> </w:t>
      </w:r>
      <w:r>
        <w:rPr>
          <w:b/>
          <w:sz w:val="22"/>
          <w:szCs w:val="21"/>
        </w:rPr>
        <w:t>10</w:t>
      </w:r>
      <w:r w:rsidRPr="00CB7416">
        <w:rPr>
          <w:b/>
          <w:sz w:val="22"/>
          <w:szCs w:val="21"/>
        </w:rPr>
        <w:t>, RAN3 answers SA2 that RAN3 acknowledge that there’s no further work for RAN3 on key issue #7.</w:t>
      </w:r>
    </w:p>
    <w:p w14:paraId="45D3269A" w14:textId="091FBF08" w:rsidR="00CB7416" w:rsidRPr="00CB7416" w:rsidRDefault="00CB7416" w:rsidP="00CB7416">
      <w:pPr>
        <w:rPr>
          <w:b/>
          <w:sz w:val="22"/>
          <w:szCs w:val="21"/>
        </w:rPr>
      </w:pPr>
      <w:r w:rsidRPr="00CB7416">
        <w:rPr>
          <w:b/>
          <w:sz w:val="22"/>
          <w:szCs w:val="21"/>
        </w:rPr>
        <w:t>Proposal</w:t>
      </w:r>
      <w:r>
        <w:rPr>
          <w:b/>
          <w:sz w:val="22"/>
          <w:szCs w:val="21"/>
        </w:rPr>
        <w:t xml:space="preserve"> 1</w:t>
      </w:r>
      <w:r>
        <w:rPr>
          <w:b/>
          <w:sz w:val="22"/>
          <w:szCs w:val="21"/>
        </w:rPr>
        <w:t>1</w:t>
      </w:r>
      <w:r w:rsidRPr="00CB7416">
        <w:rPr>
          <w:b/>
          <w:sz w:val="22"/>
          <w:szCs w:val="21"/>
        </w:rPr>
        <w:t>, RAN3 discuss whether to use CAG function to identify onboard UE.</w:t>
      </w:r>
    </w:p>
    <w:p w14:paraId="5334E61F" w14:textId="77777777" w:rsidR="00CB7416" w:rsidRPr="00CB7416" w:rsidRDefault="00CB7416" w:rsidP="00CB7416">
      <w:pPr>
        <w:rPr>
          <w:b/>
          <w:sz w:val="22"/>
          <w:szCs w:val="21"/>
        </w:rPr>
      </w:pPr>
      <w:r w:rsidRPr="00CB7416">
        <w:rPr>
          <w:b/>
          <w:sz w:val="22"/>
          <w:szCs w:val="21"/>
        </w:rPr>
        <w:t>Observation</w:t>
      </w:r>
      <w:r>
        <w:rPr>
          <w:b/>
          <w:sz w:val="22"/>
          <w:szCs w:val="21"/>
        </w:rPr>
        <w:t xml:space="preserve"> 10</w:t>
      </w:r>
      <w:r w:rsidRPr="00CB7416">
        <w:rPr>
          <w:b/>
          <w:sz w:val="22"/>
          <w:szCs w:val="21"/>
        </w:rPr>
        <w:t>, there’s a lot of RAN impacts to solve the key issues raised by SA2 and RAN3 has limited TU.</w:t>
      </w:r>
    </w:p>
    <w:p w14:paraId="314C5AC9" w14:textId="19E8AA07" w:rsidR="00CB7416" w:rsidRPr="00CB7416" w:rsidRDefault="00CB7416" w:rsidP="00CB7416">
      <w:pPr>
        <w:rPr>
          <w:b/>
          <w:sz w:val="22"/>
          <w:szCs w:val="21"/>
        </w:rPr>
      </w:pPr>
      <w:r w:rsidRPr="00CB7416">
        <w:rPr>
          <w:b/>
          <w:sz w:val="22"/>
          <w:szCs w:val="21"/>
        </w:rPr>
        <w:t>Proposal</w:t>
      </w:r>
      <w:r>
        <w:rPr>
          <w:b/>
          <w:sz w:val="22"/>
          <w:szCs w:val="21"/>
        </w:rPr>
        <w:t xml:space="preserve"> 1</w:t>
      </w:r>
      <w:r>
        <w:rPr>
          <w:b/>
          <w:sz w:val="22"/>
          <w:szCs w:val="21"/>
        </w:rPr>
        <w:t>2</w:t>
      </w:r>
      <w:r w:rsidRPr="00CB7416">
        <w:rPr>
          <w:b/>
          <w:sz w:val="22"/>
          <w:szCs w:val="21"/>
        </w:rPr>
        <w:t>, RAN3 to discuss the support priority for the Key issues that have RAN3 impacts.</w:t>
      </w:r>
    </w:p>
    <w:p w14:paraId="079C0D43" w14:textId="754FF081" w:rsidR="00C95C04" w:rsidRPr="00CD4C7B" w:rsidRDefault="00342065" w:rsidP="00990501">
      <w:pPr>
        <w:pStyle w:val="1"/>
      </w:pPr>
      <w:r>
        <w:t>4</w:t>
      </w:r>
      <w:r>
        <w:tab/>
      </w:r>
      <w:r w:rsidR="00CD4C7B" w:rsidRPr="006E13D1">
        <w:t>References</w:t>
      </w:r>
      <w:r w:rsidR="002546FB">
        <w:tab/>
      </w:r>
    </w:p>
    <w:p w14:paraId="0BA2BD6A" w14:textId="0AEE303E" w:rsidR="00080512" w:rsidRDefault="007121C5" w:rsidP="00587958">
      <w:pPr>
        <w:overflowPunct w:val="0"/>
        <w:autoSpaceDE w:val="0"/>
        <w:autoSpaceDN w:val="0"/>
        <w:adjustRightInd w:val="0"/>
        <w:ind w:left="567" w:hanging="567"/>
        <w:textAlignment w:val="baseline"/>
      </w:pPr>
      <w:r>
        <w:t xml:space="preserve">[1] </w:t>
      </w:r>
      <w:r w:rsidR="00101E3F" w:rsidRPr="00101E3F">
        <w:t>R3-230032</w:t>
      </w:r>
      <w:r w:rsidR="00C52DE2">
        <w:t xml:space="preserve">, </w:t>
      </w:r>
      <w:r w:rsidR="00C52DE2" w:rsidRPr="00C52DE2">
        <w:t>S2-2211437</w:t>
      </w:r>
      <w:r w:rsidR="00C52DE2">
        <w:t xml:space="preserve">, </w:t>
      </w:r>
      <w:r w:rsidR="00C52DE2">
        <w:rPr>
          <w:color w:val="0D0D0D"/>
        </w:rPr>
        <w:t>Reply LS on FS_VMR solutions review</w:t>
      </w:r>
    </w:p>
    <w:p w14:paraId="6657BACE" w14:textId="6536FF08" w:rsidR="00702EF4" w:rsidRPr="00CD4C7B" w:rsidRDefault="00702EF4" w:rsidP="00C52DE2">
      <w:pPr>
        <w:overflowPunct w:val="0"/>
        <w:autoSpaceDE w:val="0"/>
        <w:autoSpaceDN w:val="0"/>
        <w:adjustRightInd w:val="0"/>
        <w:ind w:left="567" w:hanging="567"/>
        <w:textAlignment w:val="baseline"/>
      </w:pPr>
      <w:r>
        <w:t>[2]</w:t>
      </w:r>
      <w:r w:rsidRPr="00702EF4">
        <w:t xml:space="preserve"> </w:t>
      </w:r>
      <w:r w:rsidR="00C702A6">
        <w:t>T</w:t>
      </w:r>
      <w:r w:rsidRPr="00702EF4">
        <w:t>R 23.700-05</w:t>
      </w:r>
      <w:r w:rsidR="00C52DE2">
        <w:t>-i00, Study on architecture enhancements for vehicle-mounted relays</w:t>
      </w:r>
    </w:p>
    <w:sectPr w:rsidR="00702EF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C5E7F" w14:textId="77777777" w:rsidR="00917F85" w:rsidRDefault="00917F85">
      <w:r>
        <w:separator/>
      </w:r>
    </w:p>
  </w:endnote>
  <w:endnote w:type="continuationSeparator" w:id="0">
    <w:p w14:paraId="642343A9" w14:textId="77777777" w:rsidR="00917F85" w:rsidRDefault="0091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E3B47" w14:textId="77777777" w:rsidR="00917F85" w:rsidRDefault="00917F85">
      <w:r>
        <w:separator/>
      </w:r>
    </w:p>
  </w:footnote>
  <w:footnote w:type="continuationSeparator" w:id="0">
    <w:p w14:paraId="4C035117" w14:textId="77777777" w:rsidR="00917F85" w:rsidRDefault="0091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62EC6"/>
    <w:multiLevelType w:val="hybridMultilevel"/>
    <w:tmpl w:val="AD4CD22C"/>
    <w:lvl w:ilvl="0" w:tplc="15FCE4CA">
      <w:start w:val="23"/>
      <w:numFmt w:val="bullet"/>
      <w:lvlText w:val="-"/>
      <w:lvlJc w:val="left"/>
      <w:pPr>
        <w:ind w:left="960" w:hanging="360"/>
      </w:pPr>
      <w:rPr>
        <w:rFonts w:ascii="Arial" w:eastAsia="宋体"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F2A36ED"/>
    <w:multiLevelType w:val="hybridMultilevel"/>
    <w:tmpl w:val="8DAC9EAE"/>
    <w:lvl w:ilvl="0" w:tplc="A5C87B88">
      <w:start w:val="2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18168E"/>
    <w:multiLevelType w:val="hybridMultilevel"/>
    <w:tmpl w:val="C8A27388"/>
    <w:lvl w:ilvl="0" w:tplc="E8D012AC">
      <w:start w:val="23"/>
      <w:numFmt w:val="bullet"/>
      <w:lvlText w:val="-"/>
      <w:lvlJc w:val="left"/>
      <w:pPr>
        <w:ind w:left="900" w:hanging="360"/>
      </w:pPr>
      <w:rPr>
        <w:rFonts w:ascii="Arial" w:eastAsia="宋体"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331040"/>
    <w:multiLevelType w:val="hybridMultilevel"/>
    <w:tmpl w:val="D2F0C36C"/>
    <w:lvl w:ilvl="0" w:tplc="6A886CD6">
      <w:start w:val="2"/>
      <w:numFmt w:val="bullet"/>
      <w:lvlText w:val="-"/>
      <w:lvlJc w:val="left"/>
      <w:pPr>
        <w:ind w:left="961" w:hanging="360"/>
      </w:pPr>
      <w:rPr>
        <w:rFonts w:ascii="Times New Roman" w:eastAsia="宋体"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8"/>
  </w:num>
  <w:num w:numId="6">
    <w:abstractNumId w:val="7"/>
  </w:num>
  <w:num w:numId="7">
    <w:abstractNumId w:val="13"/>
  </w:num>
  <w:num w:numId="8">
    <w:abstractNumId w:val="14"/>
  </w:num>
  <w:num w:numId="9">
    <w:abstractNumId w:val="10"/>
  </w:num>
  <w:num w:numId="10">
    <w:abstractNumId w:val="12"/>
  </w:num>
  <w:num w:numId="11">
    <w:abstractNumId w:val="4"/>
  </w:num>
  <w:num w:numId="12">
    <w:abstractNumId w:val="15"/>
  </w:num>
  <w:num w:numId="13">
    <w:abstractNumId w:val="16"/>
  </w:num>
  <w:num w:numId="14">
    <w:abstractNumId w:val="3"/>
  </w:num>
  <w:num w:numId="15">
    <w:abstractNumId w:val="9"/>
  </w:num>
  <w:num w:numId="16">
    <w:abstractNumId w:val="11"/>
  </w:num>
  <w:num w:numId="17">
    <w:abstractNumId w:val="2"/>
  </w:num>
  <w:num w:numId="18">
    <w:abstractNumId w:val="17"/>
  </w:num>
  <w:num w:numId="19">
    <w:abstractNumId w:val="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3397"/>
    <w:rsid w:val="000342C7"/>
    <w:rsid w:val="00040095"/>
    <w:rsid w:val="00046539"/>
    <w:rsid w:val="0005563E"/>
    <w:rsid w:val="00073043"/>
    <w:rsid w:val="00076AEC"/>
    <w:rsid w:val="00080512"/>
    <w:rsid w:val="00083075"/>
    <w:rsid w:val="00083F0D"/>
    <w:rsid w:val="00086671"/>
    <w:rsid w:val="000A111E"/>
    <w:rsid w:val="000B7BCF"/>
    <w:rsid w:val="000C1506"/>
    <w:rsid w:val="000C556D"/>
    <w:rsid w:val="000D376D"/>
    <w:rsid w:val="000D58AB"/>
    <w:rsid w:val="000E1E22"/>
    <w:rsid w:val="000E3730"/>
    <w:rsid w:val="00101E3F"/>
    <w:rsid w:val="0010667C"/>
    <w:rsid w:val="00107326"/>
    <w:rsid w:val="001075B7"/>
    <w:rsid w:val="0011641F"/>
    <w:rsid w:val="001265F8"/>
    <w:rsid w:val="001370F2"/>
    <w:rsid w:val="001549DD"/>
    <w:rsid w:val="00161C15"/>
    <w:rsid w:val="00190CAC"/>
    <w:rsid w:val="00192F70"/>
    <w:rsid w:val="00194CD0"/>
    <w:rsid w:val="001A3372"/>
    <w:rsid w:val="001B08B3"/>
    <w:rsid w:val="001C4281"/>
    <w:rsid w:val="001D0D3F"/>
    <w:rsid w:val="001E39D1"/>
    <w:rsid w:val="001E6294"/>
    <w:rsid w:val="001F168B"/>
    <w:rsid w:val="001F70B7"/>
    <w:rsid w:val="00225F6D"/>
    <w:rsid w:val="0022606D"/>
    <w:rsid w:val="002305DD"/>
    <w:rsid w:val="00243BC7"/>
    <w:rsid w:val="00250D89"/>
    <w:rsid w:val="002546FB"/>
    <w:rsid w:val="002623FC"/>
    <w:rsid w:val="002724FC"/>
    <w:rsid w:val="002747EC"/>
    <w:rsid w:val="002855BF"/>
    <w:rsid w:val="002868BC"/>
    <w:rsid w:val="002953B2"/>
    <w:rsid w:val="002D12AE"/>
    <w:rsid w:val="002E1692"/>
    <w:rsid w:val="002F0D22"/>
    <w:rsid w:val="002F5942"/>
    <w:rsid w:val="0031027D"/>
    <w:rsid w:val="003172DC"/>
    <w:rsid w:val="003238E8"/>
    <w:rsid w:val="00326069"/>
    <w:rsid w:val="00342065"/>
    <w:rsid w:val="003454FC"/>
    <w:rsid w:val="00353B12"/>
    <w:rsid w:val="0035462D"/>
    <w:rsid w:val="00363177"/>
    <w:rsid w:val="003702F7"/>
    <w:rsid w:val="003717A7"/>
    <w:rsid w:val="00385F81"/>
    <w:rsid w:val="003B3FB3"/>
    <w:rsid w:val="003B5FD6"/>
    <w:rsid w:val="003C4E37"/>
    <w:rsid w:val="003E1194"/>
    <w:rsid w:val="003E16BE"/>
    <w:rsid w:val="003E7223"/>
    <w:rsid w:val="003F72F0"/>
    <w:rsid w:val="00401855"/>
    <w:rsid w:val="00406760"/>
    <w:rsid w:val="004118FB"/>
    <w:rsid w:val="0042640A"/>
    <w:rsid w:val="004417F9"/>
    <w:rsid w:val="00455983"/>
    <w:rsid w:val="00464695"/>
    <w:rsid w:val="00474FBC"/>
    <w:rsid w:val="004A00BA"/>
    <w:rsid w:val="004B298A"/>
    <w:rsid w:val="004B3B48"/>
    <w:rsid w:val="004C53DC"/>
    <w:rsid w:val="004C5539"/>
    <w:rsid w:val="004D014F"/>
    <w:rsid w:val="004D3578"/>
    <w:rsid w:val="004D380D"/>
    <w:rsid w:val="004D3F58"/>
    <w:rsid w:val="004D5E47"/>
    <w:rsid w:val="004E0173"/>
    <w:rsid w:val="004E213A"/>
    <w:rsid w:val="004E21FC"/>
    <w:rsid w:val="004E6C01"/>
    <w:rsid w:val="004F5461"/>
    <w:rsid w:val="00503171"/>
    <w:rsid w:val="00506B54"/>
    <w:rsid w:val="00507FC6"/>
    <w:rsid w:val="00513594"/>
    <w:rsid w:val="005153FE"/>
    <w:rsid w:val="005160F1"/>
    <w:rsid w:val="005224DE"/>
    <w:rsid w:val="005240A4"/>
    <w:rsid w:val="00531884"/>
    <w:rsid w:val="00531C12"/>
    <w:rsid w:val="00534DA0"/>
    <w:rsid w:val="0054073B"/>
    <w:rsid w:val="00540B31"/>
    <w:rsid w:val="00543E6C"/>
    <w:rsid w:val="00544635"/>
    <w:rsid w:val="005626DD"/>
    <w:rsid w:val="00565087"/>
    <w:rsid w:val="0056573F"/>
    <w:rsid w:val="00565BE9"/>
    <w:rsid w:val="00570E70"/>
    <w:rsid w:val="00571CE2"/>
    <w:rsid w:val="0057579F"/>
    <w:rsid w:val="0058267E"/>
    <w:rsid w:val="005845B8"/>
    <w:rsid w:val="00587958"/>
    <w:rsid w:val="005A4971"/>
    <w:rsid w:val="005B1232"/>
    <w:rsid w:val="005B2EEF"/>
    <w:rsid w:val="005D0F3B"/>
    <w:rsid w:val="005D4274"/>
    <w:rsid w:val="005D6F6E"/>
    <w:rsid w:val="005E3C56"/>
    <w:rsid w:val="005F1BD4"/>
    <w:rsid w:val="00602E0A"/>
    <w:rsid w:val="00605E3E"/>
    <w:rsid w:val="00606DA9"/>
    <w:rsid w:val="00611566"/>
    <w:rsid w:val="00611D47"/>
    <w:rsid w:val="006327AD"/>
    <w:rsid w:val="006538D4"/>
    <w:rsid w:val="00656E1E"/>
    <w:rsid w:val="006604E4"/>
    <w:rsid w:val="00661613"/>
    <w:rsid w:val="00676E33"/>
    <w:rsid w:val="0067782C"/>
    <w:rsid w:val="00683FE8"/>
    <w:rsid w:val="006A7FE7"/>
    <w:rsid w:val="006B36A5"/>
    <w:rsid w:val="006B3E5D"/>
    <w:rsid w:val="006C39C2"/>
    <w:rsid w:val="006C54B5"/>
    <w:rsid w:val="006D1E24"/>
    <w:rsid w:val="00700394"/>
    <w:rsid w:val="00702BDF"/>
    <w:rsid w:val="00702EF4"/>
    <w:rsid w:val="007121C5"/>
    <w:rsid w:val="00734A5B"/>
    <w:rsid w:val="00741EC5"/>
    <w:rsid w:val="00743525"/>
    <w:rsid w:val="00744E76"/>
    <w:rsid w:val="007476DB"/>
    <w:rsid w:val="00750847"/>
    <w:rsid w:val="00752C31"/>
    <w:rsid w:val="00756B13"/>
    <w:rsid w:val="00757D40"/>
    <w:rsid w:val="00761E0F"/>
    <w:rsid w:val="00767CDA"/>
    <w:rsid w:val="0077054F"/>
    <w:rsid w:val="00774846"/>
    <w:rsid w:val="00781F0F"/>
    <w:rsid w:val="0078727C"/>
    <w:rsid w:val="00797225"/>
    <w:rsid w:val="00797D4B"/>
    <w:rsid w:val="007A1D90"/>
    <w:rsid w:val="007C095F"/>
    <w:rsid w:val="007C36EF"/>
    <w:rsid w:val="007C3D55"/>
    <w:rsid w:val="007D5902"/>
    <w:rsid w:val="007F2676"/>
    <w:rsid w:val="007F3F5F"/>
    <w:rsid w:val="007F437C"/>
    <w:rsid w:val="00800963"/>
    <w:rsid w:val="00802106"/>
    <w:rsid w:val="008028A4"/>
    <w:rsid w:val="00806520"/>
    <w:rsid w:val="008110C8"/>
    <w:rsid w:val="00817418"/>
    <w:rsid w:val="008223CA"/>
    <w:rsid w:val="008243AE"/>
    <w:rsid w:val="00830106"/>
    <w:rsid w:val="00840916"/>
    <w:rsid w:val="008415DA"/>
    <w:rsid w:val="00853EDD"/>
    <w:rsid w:val="008604EE"/>
    <w:rsid w:val="00862240"/>
    <w:rsid w:val="00865B05"/>
    <w:rsid w:val="0087401D"/>
    <w:rsid w:val="008768CA"/>
    <w:rsid w:val="00880559"/>
    <w:rsid w:val="00882197"/>
    <w:rsid w:val="00884817"/>
    <w:rsid w:val="008975A9"/>
    <w:rsid w:val="008A79DE"/>
    <w:rsid w:val="008B6F48"/>
    <w:rsid w:val="008C23A5"/>
    <w:rsid w:val="008C2835"/>
    <w:rsid w:val="008C490B"/>
    <w:rsid w:val="008D0185"/>
    <w:rsid w:val="008F7BA6"/>
    <w:rsid w:val="0090271F"/>
    <w:rsid w:val="00903D8C"/>
    <w:rsid w:val="00904D26"/>
    <w:rsid w:val="00917051"/>
    <w:rsid w:val="00917F85"/>
    <w:rsid w:val="009213A0"/>
    <w:rsid w:val="009321BB"/>
    <w:rsid w:val="00941B5A"/>
    <w:rsid w:val="00942EC2"/>
    <w:rsid w:val="009518E0"/>
    <w:rsid w:val="00952D8F"/>
    <w:rsid w:val="00954BCB"/>
    <w:rsid w:val="00961B32"/>
    <w:rsid w:val="00971683"/>
    <w:rsid w:val="00972FD7"/>
    <w:rsid w:val="00974BB0"/>
    <w:rsid w:val="00981A36"/>
    <w:rsid w:val="00990501"/>
    <w:rsid w:val="009A081F"/>
    <w:rsid w:val="009A6E4F"/>
    <w:rsid w:val="009B4F59"/>
    <w:rsid w:val="009C041E"/>
    <w:rsid w:val="009C4D5C"/>
    <w:rsid w:val="009D0A28"/>
    <w:rsid w:val="009D16A6"/>
    <w:rsid w:val="009E7A89"/>
    <w:rsid w:val="009F2175"/>
    <w:rsid w:val="009F3B54"/>
    <w:rsid w:val="009F75AB"/>
    <w:rsid w:val="009F7E6E"/>
    <w:rsid w:val="00A10F02"/>
    <w:rsid w:val="00A16411"/>
    <w:rsid w:val="00A2199E"/>
    <w:rsid w:val="00A2521A"/>
    <w:rsid w:val="00A30B98"/>
    <w:rsid w:val="00A31288"/>
    <w:rsid w:val="00A53724"/>
    <w:rsid w:val="00A556F2"/>
    <w:rsid w:val="00A61FEF"/>
    <w:rsid w:val="00A64C87"/>
    <w:rsid w:val="00A82346"/>
    <w:rsid w:val="00A8361A"/>
    <w:rsid w:val="00A8557C"/>
    <w:rsid w:val="00A9671C"/>
    <w:rsid w:val="00AA672B"/>
    <w:rsid w:val="00AB1260"/>
    <w:rsid w:val="00AB6AAB"/>
    <w:rsid w:val="00AC3663"/>
    <w:rsid w:val="00AD2AA1"/>
    <w:rsid w:val="00AD4BCF"/>
    <w:rsid w:val="00AF2519"/>
    <w:rsid w:val="00AF4A8E"/>
    <w:rsid w:val="00AF78D5"/>
    <w:rsid w:val="00B1063A"/>
    <w:rsid w:val="00B15449"/>
    <w:rsid w:val="00B178F7"/>
    <w:rsid w:val="00B21285"/>
    <w:rsid w:val="00B22A1F"/>
    <w:rsid w:val="00B319E0"/>
    <w:rsid w:val="00B41851"/>
    <w:rsid w:val="00B502AA"/>
    <w:rsid w:val="00B503D9"/>
    <w:rsid w:val="00B550AA"/>
    <w:rsid w:val="00B6745D"/>
    <w:rsid w:val="00B9781E"/>
    <w:rsid w:val="00BA57EA"/>
    <w:rsid w:val="00BA6755"/>
    <w:rsid w:val="00BB17EC"/>
    <w:rsid w:val="00BC2DA2"/>
    <w:rsid w:val="00BD631D"/>
    <w:rsid w:val="00BF768D"/>
    <w:rsid w:val="00BF79F1"/>
    <w:rsid w:val="00C02154"/>
    <w:rsid w:val="00C03035"/>
    <w:rsid w:val="00C23BE1"/>
    <w:rsid w:val="00C275BC"/>
    <w:rsid w:val="00C33079"/>
    <w:rsid w:val="00C365F1"/>
    <w:rsid w:val="00C43B31"/>
    <w:rsid w:val="00C43EAD"/>
    <w:rsid w:val="00C50536"/>
    <w:rsid w:val="00C52DE2"/>
    <w:rsid w:val="00C55EB7"/>
    <w:rsid w:val="00C671C2"/>
    <w:rsid w:val="00C702A6"/>
    <w:rsid w:val="00C866E9"/>
    <w:rsid w:val="00C95C04"/>
    <w:rsid w:val="00CA276C"/>
    <w:rsid w:val="00CA3D0C"/>
    <w:rsid w:val="00CB6651"/>
    <w:rsid w:val="00CB6887"/>
    <w:rsid w:val="00CB7416"/>
    <w:rsid w:val="00CC64B4"/>
    <w:rsid w:val="00CD4C7B"/>
    <w:rsid w:val="00CE075A"/>
    <w:rsid w:val="00CF52CD"/>
    <w:rsid w:val="00D1618D"/>
    <w:rsid w:val="00D22038"/>
    <w:rsid w:val="00D23014"/>
    <w:rsid w:val="00D45717"/>
    <w:rsid w:val="00D738D6"/>
    <w:rsid w:val="00D764AE"/>
    <w:rsid w:val="00D80795"/>
    <w:rsid w:val="00D87E00"/>
    <w:rsid w:val="00D908B4"/>
    <w:rsid w:val="00D90D48"/>
    <w:rsid w:val="00D9134D"/>
    <w:rsid w:val="00D9355A"/>
    <w:rsid w:val="00D97CD9"/>
    <w:rsid w:val="00DA5329"/>
    <w:rsid w:val="00DA7A03"/>
    <w:rsid w:val="00DB1818"/>
    <w:rsid w:val="00DB4619"/>
    <w:rsid w:val="00DC1445"/>
    <w:rsid w:val="00DC309B"/>
    <w:rsid w:val="00DC4DA2"/>
    <w:rsid w:val="00DC6AFC"/>
    <w:rsid w:val="00DC74C1"/>
    <w:rsid w:val="00DD2706"/>
    <w:rsid w:val="00DD41D3"/>
    <w:rsid w:val="00DE1406"/>
    <w:rsid w:val="00E07838"/>
    <w:rsid w:val="00E305A4"/>
    <w:rsid w:val="00E31392"/>
    <w:rsid w:val="00E340BC"/>
    <w:rsid w:val="00E41B00"/>
    <w:rsid w:val="00E51F8B"/>
    <w:rsid w:val="00E62835"/>
    <w:rsid w:val="00E71097"/>
    <w:rsid w:val="00E76A64"/>
    <w:rsid w:val="00E77645"/>
    <w:rsid w:val="00E852FF"/>
    <w:rsid w:val="00E90ABE"/>
    <w:rsid w:val="00EA1D56"/>
    <w:rsid w:val="00EA22F8"/>
    <w:rsid w:val="00EC4A25"/>
    <w:rsid w:val="00ED0D91"/>
    <w:rsid w:val="00ED1751"/>
    <w:rsid w:val="00ED7F72"/>
    <w:rsid w:val="00EE022B"/>
    <w:rsid w:val="00EE0A1E"/>
    <w:rsid w:val="00EE1E5E"/>
    <w:rsid w:val="00EF2DFA"/>
    <w:rsid w:val="00EF414A"/>
    <w:rsid w:val="00EF47CB"/>
    <w:rsid w:val="00F025A2"/>
    <w:rsid w:val="00F0269B"/>
    <w:rsid w:val="00F06E56"/>
    <w:rsid w:val="00F2026E"/>
    <w:rsid w:val="00F20BF4"/>
    <w:rsid w:val="00F2210A"/>
    <w:rsid w:val="00F36105"/>
    <w:rsid w:val="00F37743"/>
    <w:rsid w:val="00F42AA0"/>
    <w:rsid w:val="00F52DB4"/>
    <w:rsid w:val="00F54114"/>
    <w:rsid w:val="00F54A3D"/>
    <w:rsid w:val="00F653B8"/>
    <w:rsid w:val="00F76F8F"/>
    <w:rsid w:val="00F9580C"/>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character" w:customStyle="1" w:styleId="B1Char1">
    <w:name w:val="B1 Char1"/>
    <w:rsid w:val="00DB4619"/>
    <w:rPr>
      <w:rFonts w:ascii="Arial" w:hAnsi="Arial"/>
      <w:lang w:val="en-GB" w:eastAsia="en-US"/>
    </w:rPr>
  </w:style>
  <w:style w:type="table" w:styleId="ab">
    <w:name w:val="Table Grid"/>
    <w:basedOn w:val="a1"/>
    <w:rsid w:val="00516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C02154"/>
    <w:rPr>
      <w:rFonts w:ascii="Arial" w:hAnsi="Arial" w:cs="Arial"/>
      <w:sz w:val="18"/>
    </w:rPr>
  </w:style>
  <w:style w:type="character" w:customStyle="1" w:styleId="TAHChar">
    <w:name w:val="TAH Char"/>
    <w:link w:val="TAH"/>
    <w:qFormat/>
    <w:locked/>
    <w:rsid w:val="00C02154"/>
    <w:rPr>
      <w:rFonts w:ascii="Arial" w:hAnsi="Arial"/>
      <w:b/>
      <w:sz w:val="18"/>
      <w:lang w:val="en-GB" w:eastAsia="en-US"/>
    </w:rPr>
  </w:style>
  <w:style w:type="character" w:customStyle="1" w:styleId="NOChar">
    <w:name w:val="NO Char"/>
    <w:locked/>
    <w:rsid w:val="00F36105"/>
    <w:rPr>
      <w:lang w:val="en-GB" w:eastAsia="en-GB"/>
    </w:rPr>
  </w:style>
  <w:style w:type="character" w:styleId="ac">
    <w:name w:val="annotation reference"/>
    <w:basedOn w:val="a0"/>
    <w:rsid w:val="00A2521A"/>
    <w:rPr>
      <w:sz w:val="16"/>
      <w:szCs w:val="16"/>
    </w:rPr>
  </w:style>
  <w:style w:type="paragraph" w:styleId="ad">
    <w:name w:val="annotation text"/>
    <w:basedOn w:val="a"/>
    <w:link w:val="ae"/>
    <w:rsid w:val="00A2521A"/>
  </w:style>
  <w:style w:type="character" w:customStyle="1" w:styleId="ae">
    <w:name w:val="批注文字 字符"/>
    <w:basedOn w:val="a0"/>
    <w:link w:val="ad"/>
    <w:rsid w:val="00A2521A"/>
    <w:rPr>
      <w:lang w:val="en-GB" w:eastAsia="en-US"/>
    </w:rPr>
  </w:style>
  <w:style w:type="paragraph" w:styleId="af">
    <w:name w:val="annotation subject"/>
    <w:basedOn w:val="ad"/>
    <w:next w:val="ad"/>
    <w:link w:val="af0"/>
    <w:rsid w:val="00A2521A"/>
    <w:rPr>
      <w:b/>
      <w:bCs/>
    </w:rPr>
  </w:style>
  <w:style w:type="character" w:customStyle="1" w:styleId="af0">
    <w:name w:val="批注主题 字符"/>
    <w:basedOn w:val="ae"/>
    <w:link w:val="af"/>
    <w:rsid w:val="00A2521A"/>
    <w:rPr>
      <w:b/>
      <w:bCs/>
      <w:lang w:val="en-GB" w:eastAsia="en-US"/>
    </w:rPr>
  </w:style>
  <w:style w:type="paragraph" w:styleId="af1">
    <w:name w:val="Balloon Text"/>
    <w:basedOn w:val="a"/>
    <w:link w:val="af2"/>
    <w:semiHidden/>
    <w:unhideWhenUsed/>
    <w:rsid w:val="00A2521A"/>
    <w:pPr>
      <w:spacing w:after="0"/>
    </w:pPr>
    <w:rPr>
      <w:rFonts w:ascii="Microsoft YaHei UI" w:eastAsia="Microsoft YaHei UI"/>
      <w:sz w:val="18"/>
      <w:szCs w:val="18"/>
    </w:rPr>
  </w:style>
  <w:style w:type="character" w:customStyle="1" w:styleId="af2">
    <w:name w:val="批注框文本 字符"/>
    <w:basedOn w:val="a0"/>
    <w:link w:val="af1"/>
    <w:semiHidden/>
    <w:rsid w:val="00A2521A"/>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1963">
      <w:bodyDiv w:val="1"/>
      <w:marLeft w:val="0"/>
      <w:marRight w:val="0"/>
      <w:marTop w:val="0"/>
      <w:marBottom w:val="0"/>
      <w:divBdr>
        <w:top w:val="none" w:sz="0" w:space="0" w:color="auto"/>
        <w:left w:val="none" w:sz="0" w:space="0" w:color="auto"/>
        <w:bottom w:val="none" w:sz="0" w:space="0" w:color="auto"/>
        <w:right w:val="none" w:sz="0" w:space="0" w:color="auto"/>
      </w:divBdr>
    </w:div>
    <w:div w:id="120077618">
      <w:bodyDiv w:val="1"/>
      <w:marLeft w:val="0"/>
      <w:marRight w:val="0"/>
      <w:marTop w:val="0"/>
      <w:marBottom w:val="0"/>
      <w:divBdr>
        <w:top w:val="none" w:sz="0" w:space="0" w:color="auto"/>
        <w:left w:val="none" w:sz="0" w:space="0" w:color="auto"/>
        <w:bottom w:val="none" w:sz="0" w:space="0" w:color="auto"/>
        <w:right w:val="none" w:sz="0" w:space="0" w:color="auto"/>
      </w:divBdr>
    </w:div>
    <w:div w:id="332496304">
      <w:bodyDiv w:val="1"/>
      <w:marLeft w:val="0"/>
      <w:marRight w:val="0"/>
      <w:marTop w:val="0"/>
      <w:marBottom w:val="0"/>
      <w:divBdr>
        <w:top w:val="none" w:sz="0" w:space="0" w:color="auto"/>
        <w:left w:val="none" w:sz="0" w:space="0" w:color="auto"/>
        <w:bottom w:val="none" w:sz="0" w:space="0" w:color="auto"/>
        <w:right w:val="none" w:sz="0" w:space="0" w:color="auto"/>
      </w:divBdr>
    </w:div>
    <w:div w:id="941837354">
      <w:bodyDiv w:val="1"/>
      <w:marLeft w:val="0"/>
      <w:marRight w:val="0"/>
      <w:marTop w:val="0"/>
      <w:marBottom w:val="0"/>
      <w:divBdr>
        <w:top w:val="none" w:sz="0" w:space="0" w:color="auto"/>
        <w:left w:val="none" w:sz="0" w:space="0" w:color="auto"/>
        <w:bottom w:val="none" w:sz="0" w:space="0" w:color="auto"/>
        <w:right w:val="none" w:sz="0" w:space="0" w:color="auto"/>
      </w:divBdr>
    </w:div>
    <w:div w:id="1336491023">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730373181">
      <w:bodyDiv w:val="1"/>
      <w:marLeft w:val="0"/>
      <w:marRight w:val="0"/>
      <w:marTop w:val="0"/>
      <w:marBottom w:val="0"/>
      <w:divBdr>
        <w:top w:val="none" w:sz="0" w:space="0" w:color="auto"/>
        <w:left w:val="none" w:sz="0" w:space="0" w:color="auto"/>
        <w:bottom w:val="none" w:sz="0" w:space="0" w:color="auto"/>
        <w:right w:val="none" w:sz="0" w:space="0" w:color="auto"/>
      </w:divBdr>
    </w:div>
    <w:div w:id="20984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13865-6C5A-407F-BA36-1B31D20F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3724</Words>
  <Characters>21229</Characters>
  <Application>Microsoft Office Word</Application>
  <DocSecurity>0</DocSecurity>
  <Lines>176</Lines>
  <Paragraphs>49</Paragraphs>
  <ScaleCrop>false</ScaleCrop>
  <Company/>
  <LinksUpToDate>false</LinksUpToDate>
  <CharactersWithSpaces>24904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2023-02-16T03:28:00Z</dcterms:created>
  <dcterms:modified xsi:type="dcterms:W3CDTF">2023-02-17T03:55:00Z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